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4D7B" w14:textId="46672DBC" w:rsidR="001C71B6" w:rsidRPr="001C71B6" w:rsidRDefault="00766EFA" w:rsidP="001C71B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ЦФА </w:t>
      </w:r>
      <w:r w:rsidR="0034250E">
        <w:rPr>
          <w:rFonts w:ascii="Times New Roman" w:hAnsi="Times New Roman" w:cs="Times New Roman"/>
          <w:b/>
          <w:bCs/>
        </w:rPr>
        <w:t>и финансирование инфраструктурных проектов</w:t>
      </w:r>
    </w:p>
    <w:p w14:paraId="44262CFE" w14:textId="77777777" w:rsidR="001C71B6" w:rsidRPr="001C71B6" w:rsidRDefault="001C71B6" w:rsidP="001C71B6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C71B6">
        <w:rPr>
          <w:rFonts w:ascii="Times New Roman" w:hAnsi="Times New Roman" w:cs="Times New Roman"/>
          <w:b/>
          <w:bCs/>
          <w:i/>
          <w:iCs/>
        </w:rPr>
        <w:t>Виноградова Алина Сергеевна</w:t>
      </w:r>
    </w:p>
    <w:p w14:paraId="0798E6CA" w14:textId="77777777" w:rsidR="001C71B6" w:rsidRPr="001C71B6" w:rsidRDefault="001C71B6" w:rsidP="001C71B6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C71B6">
        <w:rPr>
          <w:rFonts w:ascii="Times New Roman" w:hAnsi="Times New Roman" w:cs="Times New Roman"/>
          <w:b/>
          <w:bCs/>
          <w:i/>
          <w:iCs/>
        </w:rPr>
        <w:t>Ивкин Илья Алексеевич</w:t>
      </w:r>
    </w:p>
    <w:p w14:paraId="0FDA970C" w14:textId="77777777" w:rsidR="001C71B6" w:rsidRPr="001C71B6" w:rsidRDefault="001C71B6" w:rsidP="001C71B6">
      <w:pPr>
        <w:jc w:val="center"/>
        <w:rPr>
          <w:rFonts w:ascii="Times New Roman" w:hAnsi="Times New Roman" w:cs="Times New Roman"/>
          <w:i/>
          <w:iCs/>
        </w:rPr>
      </w:pPr>
      <w:r w:rsidRPr="001C71B6">
        <w:rPr>
          <w:rFonts w:ascii="Times New Roman" w:hAnsi="Times New Roman" w:cs="Times New Roman"/>
          <w:i/>
          <w:iCs/>
        </w:rPr>
        <w:t>Студенты</w:t>
      </w:r>
    </w:p>
    <w:p w14:paraId="4FE15BA9" w14:textId="77777777" w:rsidR="001C71B6" w:rsidRPr="001C71B6" w:rsidRDefault="001C71B6" w:rsidP="001C71B6">
      <w:pPr>
        <w:jc w:val="center"/>
        <w:rPr>
          <w:rFonts w:ascii="Times New Roman" w:hAnsi="Times New Roman" w:cs="Times New Roman"/>
          <w:i/>
          <w:iCs/>
        </w:rPr>
      </w:pPr>
      <w:r w:rsidRPr="001C71B6">
        <w:rPr>
          <w:rFonts w:ascii="Times New Roman" w:hAnsi="Times New Roman" w:cs="Times New Roman"/>
          <w:i/>
          <w:iCs/>
        </w:rPr>
        <w:t>Всероссийская академия внешней торговли Министерства Экономического развития РФ</w:t>
      </w:r>
    </w:p>
    <w:p w14:paraId="138633FF" w14:textId="77777777" w:rsidR="002C7967" w:rsidRDefault="001C71B6" w:rsidP="001C71B6">
      <w:pPr>
        <w:jc w:val="center"/>
        <w:rPr>
          <w:rFonts w:ascii="Times New Roman" w:hAnsi="Times New Roman" w:cs="Times New Roman"/>
          <w:i/>
          <w:iCs/>
        </w:rPr>
      </w:pPr>
      <w:r w:rsidRPr="001C71B6">
        <w:rPr>
          <w:rFonts w:ascii="Times New Roman" w:hAnsi="Times New Roman" w:cs="Times New Roman"/>
          <w:i/>
          <w:iCs/>
        </w:rPr>
        <w:t>Факультет экономистов-международников, Москва, Россия</w:t>
      </w:r>
    </w:p>
    <w:p w14:paraId="7F34A402" w14:textId="7DBBA0D0" w:rsidR="002C7967" w:rsidRPr="0098718A" w:rsidRDefault="0034250E" w:rsidP="001B3BF8">
      <w:pPr>
        <w:jc w:val="center"/>
        <w:rPr>
          <w:rFonts w:ascii="Times New Roman" w:hAnsi="Times New Roman" w:cs="Times New Roman"/>
          <w:i/>
          <w:iCs/>
        </w:rPr>
      </w:pPr>
      <w:r w:rsidRPr="0098718A">
        <w:rPr>
          <w:rFonts w:ascii="Times New Roman" w:hAnsi="Times New Roman" w:cs="Times New Roman"/>
          <w:i/>
          <w:iCs/>
        </w:rPr>
        <w:t>E–</w:t>
      </w:r>
      <w:proofErr w:type="spellStart"/>
      <w:r w:rsidRPr="0098718A">
        <w:rPr>
          <w:rFonts w:ascii="Times New Roman" w:hAnsi="Times New Roman" w:cs="Times New Roman"/>
          <w:i/>
          <w:iCs/>
        </w:rPr>
        <w:t>mail</w:t>
      </w:r>
      <w:proofErr w:type="spellEnd"/>
      <w:r w:rsidRPr="0098718A">
        <w:rPr>
          <w:rFonts w:ascii="Times New Roman" w:hAnsi="Times New Roman" w:cs="Times New Roman"/>
          <w:i/>
          <w:iCs/>
        </w:rPr>
        <w:t xml:space="preserve">: </w:t>
      </w:r>
      <w:r w:rsidR="0098718A" w:rsidRPr="0098718A">
        <w:rPr>
          <w:rFonts w:ascii="Times New Roman" w:hAnsi="Times New Roman" w:cs="Times New Roman"/>
          <w:i/>
          <w:iCs/>
        </w:rPr>
        <w:t>alina_sv@inbox.ru, ilia.ivkin@mail.ru</w:t>
      </w:r>
    </w:p>
    <w:p w14:paraId="2184D278" w14:textId="22154001" w:rsidR="001C71B6" w:rsidRPr="0098718A" w:rsidRDefault="001C71B6" w:rsidP="0098718A">
      <w:pPr>
        <w:pStyle w:val="a4"/>
        <w:spacing w:after="0" w:afterAutospacing="0"/>
        <w:ind w:firstLine="397"/>
        <w:jc w:val="both"/>
        <w:rPr>
          <w:color w:val="1A1C1E"/>
        </w:rPr>
      </w:pPr>
      <w:r w:rsidRPr="001C71B6">
        <w:t xml:space="preserve">Цифровые финансовые активы (ЦФА) </w:t>
      </w:r>
      <w:r>
        <w:t>являются</w:t>
      </w:r>
      <w:r w:rsidRPr="001C71B6">
        <w:t xml:space="preserve"> новы</w:t>
      </w:r>
      <w:r>
        <w:t>м</w:t>
      </w:r>
      <w:r w:rsidRPr="001C71B6">
        <w:t xml:space="preserve"> класс</w:t>
      </w:r>
      <w:r>
        <w:t>ом</w:t>
      </w:r>
      <w:r w:rsidRPr="001C71B6">
        <w:t xml:space="preserve"> активов, потенциально трансформирующи</w:t>
      </w:r>
      <w:r>
        <w:t xml:space="preserve">е рынок </w:t>
      </w:r>
      <w:r w:rsidRPr="001C71B6">
        <w:t xml:space="preserve">инвестиций и финансирования. </w:t>
      </w:r>
      <w:r>
        <w:t>И</w:t>
      </w:r>
      <w:r w:rsidRPr="001C71B6">
        <w:t>х концепция и механика остаются не до конца понятными широкой аудитории</w:t>
      </w:r>
      <w:r>
        <w:t>, поэтому процент инвесторов, использующих этот инструмент еще довольно небольшой, но рынок развивается и имеет многообещающие прогнозы</w:t>
      </w:r>
      <w:r w:rsidRPr="001C71B6">
        <w:t xml:space="preserve">. </w:t>
      </w:r>
      <w:r w:rsidR="006915A5">
        <w:t xml:space="preserve">Простыми словами </w:t>
      </w:r>
      <w:r w:rsidRPr="001C71B6">
        <w:t>Цифровые финансовые активы (ЦФА</w:t>
      </w:r>
      <w:r>
        <w:t>)</w:t>
      </w:r>
      <w:r w:rsidRPr="001C71B6">
        <w:t xml:space="preserve"> – это оцифрованные права на что-либо (деньги, ценные бумаги, доли в компании и т.д.), </w:t>
      </w:r>
      <w:r w:rsidRPr="001C71B6">
        <w:rPr>
          <w:rStyle w:val="ng-star-inserted1"/>
          <w:color w:val="1A1C1E"/>
        </w:rPr>
        <w:t>построенны</w:t>
      </w:r>
      <w:r>
        <w:rPr>
          <w:rStyle w:val="ng-star-inserted1"/>
          <w:color w:val="1A1C1E"/>
        </w:rPr>
        <w:t>е</w:t>
      </w:r>
      <w:r w:rsidRPr="001C71B6">
        <w:rPr>
          <w:rStyle w:val="ng-star-inserted1"/>
          <w:color w:val="1A1C1E"/>
        </w:rPr>
        <w:t xml:space="preserve"> на технологии </w:t>
      </w:r>
      <w:proofErr w:type="spellStart"/>
      <w:r w:rsidRPr="001C71B6">
        <w:rPr>
          <w:rStyle w:val="ng-star-inserted1"/>
          <w:color w:val="1A1C1E"/>
        </w:rPr>
        <w:t>блокчейн</w:t>
      </w:r>
      <w:proofErr w:type="spellEnd"/>
      <w:r w:rsidRPr="001C71B6">
        <w:rPr>
          <w:rStyle w:val="ng-star-inserted1"/>
          <w:color w:val="1A1C1E"/>
        </w:rPr>
        <w:t xml:space="preserve">. </w:t>
      </w:r>
      <w:r>
        <w:rPr>
          <w:rStyle w:val="ng-star-inserted1"/>
          <w:color w:val="1A1C1E"/>
        </w:rPr>
        <w:t>Данный финансовый инструмент</w:t>
      </w:r>
      <w:r w:rsidRPr="001C71B6">
        <w:rPr>
          <w:rStyle w:val="ng-star-inserted1"/>
          <w:color w:val="1A1C1E"/>
        </w:rPr>
        <w:t xml:space="preserve"> предлагает более гибкие, быстрые и дешёвые альтернативы классическим финансовым инструментам, таким как облигации, акции, а также открывает новые возможности для привлечения финансирования и инвестирования</w:t>
      </w:r>
      <w:r w:rsidRPr="001C71B6">
        <w:t xml:space="preserve">. </w:t>
      </w:r>
      <w:proofErr w:type="spellStart"/>
      <w:r w:rsidRPr="001C71B6">
        <w:t>Блокчейн</w:t>
      </w:r>
      <w:proofErr w:type="spellEnd"/>
      <w:r w:rsidRPr="001C71B6">
        <w:t xml:space="preserve"> обеспечивает прозрачность, безопасность и неизменность информации о владении и передаче ЦФА. Таким образом, ЦФА </w:t>
      </w:r>
      <w:r>
        <w:t xml:space="preserve">– </w:t>
      </w:r>
      <w:r w:rsidRPr="001C71B6">
        <w:t xml:space="preserve">это цифровое выражение прав, записанное в </w:t>
      </w:r>
      <w:proofErr w:type="spellStart"/>
      <w:r w:rsidRPr="001C71B6">
        <w:t>блокчейне</w:t>
      </w:r>
      <w:proofErr w:type="spellEnd"/>
      <w:r w:rsidRPr="001C71B6">
        <w:t>, обеспечивающем прозрачность и безопасность операций с этими правами.</w:t>
      </w:r>
    </w:p>
    <w:p w14:paraId="7F8B153D" w14:textId="24452455" w:rsidR="001C71B6" w:rsidRPr="001C71B6" w:rsidRDefault="001C71B6" w:rsidP="0034250E">
      <w:pPr>
        <w:spacing w:before="100" w:beforeAutospacing="1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Законодательная база, регулирующая цифровые финансовые активы (ЦФА) в России, относительно новая и находится в процессе формирования. Ключевым нормативным актом является Федеральный закон от 31.07.2020 N 259-ФЗ “О цифровых финансовых активах, цифровой валюте и о внесении изменений в отдельные законодательные акты Российской Федерации” (Закон о ЦФА)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DD28F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который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определяет основные понятия, правила выпуска и обращения ЦФА, а также регулирует деятельность операторов информационных систем (ОИС), осуществляющих 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процессы с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ЦФА.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Закон четко разделяет ЦФА и цифровые валюты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такие как биткоин,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которые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России не являются законным средством платежа, и их регулирование остается неопределенным. 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Также в нем подробно описывается роль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ОИС - ключево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связующего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элемент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инфраструктуры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через который происходит в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ыпуск и обращение ЦФА, включенных в реестр Банка России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915A5"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обеспеч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ение</w:t>
      </w:r>
      <w:r w:rsidR="006915A5"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ведени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 </w:t>
      </w:r>
      <w:r w:rsidR="006915A5"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реестра цифровых прав, а также осуществл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яется</w:t>
      </w:r>
      <w:r w:rsidR="006915A5"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контроль за соблюдением законодательства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Что касается эмитентов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ЦФА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это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могут быть юридические лица и индивидуальные предприниматели. Они обязаны раскрывать информацию о себе, о выпускаемых ЦФА и о рисках, связанных с инвестированием в них. К эмитентам также предъявляются требования к финансовой устойчивости и надежности.</w:t>
      </w:r>
    </w:p>
    <w:p w14:paraId="075DDBA7" w14:textId="2489ECF9" w:rsidR="006915A5" w:rsidRPr="001C71B6" w:rsidRDefault="001C71B6" w:rsidP="0034250E">
      <w:pPr>
        <w:spacing w:before="100" w:beforeAutospacing="1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России рынок ЦФА находится на стадии активного развития, и количество выпусков постоянно растет</w:t>
      </w:r>
      <w:r w:rsidR="00EC55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по данным ОИС за 2023 год было совершено более 350 выпусков с номинальным объемом более 100 млрд рублей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Среди примеров выпуска ЦФА можно отметить: в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ыпуски от “Ленэнерго”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к</w:t>
      </w:r>
      <w:r w:rsidR="003425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оторая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регулярно выпускает ЦФА на денежное требование, привлекая финансирование для своих проектов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предлага</w:t>
      </w:r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инвесторам фиксированный доход.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Также н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екоторые компании выпускают ЦФА, обеспеченные физическим золотом или другими драгоценными металлами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через платформу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Атомайз</w:t>
      </w:r>
      <w:proofErr w:type="spellEnd"/>
      <w:r w:rsidR="006915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это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позволяет инвесторам получить доступ к рынку драгоценных металлов в цифровом формате.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Некоторые платформы предлагают ЦФА, привязанные к конкретным объектам недвижимости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что дает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инвесторам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возможность </w:t>
      </w:r>
      <w:r w:rsidRPr="001C71B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получить доход от аренды или перепродажи недвижимости в цифровом формате.</w:t>
      </w:r>
    </w:p>
    <w:p w14:paraId="7BDF4D7A" w14:textId="2F8A476B" w:rsidR="00DD28F3" w:rsidRPr="001B3BF8" w:rsidRDefault="00766EFA" w:rsidP="0034250E">
      <w:pPr>
        <w:spacing w:before="100" w:beforeAutospacing="1"/>
        <w:ind w:firstLine="397"/>
        <w:jc w:val="both"/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В своем исследовании, мы рассмотрели подробнее особенности применения инструментов ЦФА в финансировании инфраструктурных проектов. </w:t>
      </w:r>
      <w:r w:rsidR="00DD28F3" w:rsidRPr="001B3B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Согласно</w:t>
      </w:r>
      <w:r w:rsidR="00EE42CD" w:rsidRPr="001B3B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Global </w:t>
      </w:r>
      <w:proofErr w:type="spellStart"/>
      <w:r w:rsidR="00EE42CD" w:rsidRPr="001B3B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Infrastracture</w:t>
      </w:r>
      <w:proofErr w:type="spellEnd"/>
      <w:r w:rsidR="00EE42CD" w:rsidRPr="001B3B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="00EE42CD" w:rsidRPr="001B3B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Hub</w:t>
      </w:r>
      <w:proofErr w:type="spellEnd"/>
      <w:r w:rsidR="00DD28F3" w:rsidRPr="001B3BF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ежегодно на инфраструктуру тратится около 3-4 триллионов долларов, при этом большую часть расходов покрывают правительства. В 2019 году частные инвестиции в инфраструктуру через первичные эмиссии составили всего 106 миллиардов долларов.</w:t>
      </w:r>
    </w:p>
    <w:p w14:paraId="29049E54" w14:textId="4C8CBE20" w:rsidR="00DD28F3" w:rsidRPr="001B3BF8" w:rsidRDefault="00DD28F3" w:rsidP="0034250E">
      <w:pPr>
        <w:pStyle w:val="ng-star-inserted"/>
        <w:spacing w:after="45"/>
        <w:ind w:firstLine="397"/>
        <w:jc w:val="both"/>
      </w:pPr>
      <w:r w:rsidRPr="001B3BF8">
        <w:t xml:space="preserve">Прозрачность и программируемость технологии </w:t>
      </w:r>
      <w:proofErr w:type="spellStart"/>
      <w:r w:rsidRPr="001B3BF8">
        <w:t>блокчейн</w:t>
      </w:r>
      <w:proofErr w:type="spellEnd"/>
      <w:r w:rsidRPr="001B3BF8">
        <w:t xml:space="preserve"> открывают новые способы управления и финансирования телекоммуникационных и других коммунальных сетей. Эта новая парадигма, известная как «Ликвидная инфраструктура», устраняет барьеры для крупных инфраструктурных проектов в доступе к финансированию и позволяет </w:t>
      </w:r>
      <w:proofErr w:type="spellStart"/>
      <w:r w:rsidRPr="001B3BF8">
        <w:t>неинституциональным</w:t>
      </w:r>
      <w:proofErr w:type="spellEnd"/>
      <w:r w:rsidRPr="001B3BF8">
        <w:t xml:space="preserve"> инвесторам, небольшим компаниям и сообществам напрямую участвовать в строительстве необходимой им инфраструктуры. </w:t>
      </w:r>
      <w:proofErr w:type="spellStart"/>
      <w:r w:rsidRPr="001B3BF8">
        <w:t>Блокчейн</w:t>
      </w:r>
      <w:proofErr w:type="spellEnd"/>
      <w:r w:rsidRPr="001B3BF8">
        <w:t xml:space="preserve"> облегчает систему платежей, которая поддерживает автоматизированные расчеты, способствуя динамическим моделям ценообразования и автоматизированным транзакциям. Эта структура дает возможность небольшим инвесторам и местным сообществам иметь прямую долю в инфраструктурных проектах.</w:t>
      </w:r>
    </w:p>
    <w:p w14:paraId="3F92824D" w14:textId="77777777" w:rsidR="00EC5560" w:rsidRPr="001B3BF8" w:rsidRDefault="00766EFA" w:rsidP="0034250E">
      <w:pPr>
        <w:pStyle w:val="ng-star-inserted"/>
        <w:spacing w:after="45"/>
        <w:ind w:firstLine="397"/>
        <w:jc w:val="both"/>
      </w:pPr>
      <w:r w:rsidRPr="001B3BF8">
        <w:t>По своей природе права (токены) могут быть либо утилитарными (например, за каждый рубль, вложенный в проект, инвестор получает 2 рубля энергии), либо финансовыми (эквивалентно доле в инфраструктурном активе, с выплатами на основе производительности). Утверждается, что токены снижают стоимость финансирования до уровня стоимости программного обеспечения (смарт-контракта), что прозрачность производительности делает финансирование через ЦФА (токены) более ликвидным, а разбивка крупных капитальных обязательств на более мелкие самовыполняющиеся токены позволяет привлечь больше розничных инвесторов.</w:t>
      </w:r>
    </w:p>
    <w:p w14:paraId="367272EF" w14:textId="296C2275" w:rsidR="00DD28F3" w:rsidRDefault="00DD28F3" w:rsidP="0034250E">
      <w:pPr>
        <w:pStyle w:val="ng-star-inserted"/>
        <w:spacing w:after="45"/>
        <w:ind w:firstLine="397"/>
        <w:jc w:val="both"/>
      </w:pPr>
      <w:r w:rsidRPr="001B3BF8">
        <w:t>Т</w:t>
      </w:r>
      <w:r w:rsidR="00766EFA" w:rsidRPr="001B3BF8">
        <w:t xml:space="preserve">аким образом, </w:t>
      </w:r>
      <w:proofErr w:type="spellStart"/>
      <w:r w:rsidR="00766EFA" w:rsidRPr="001B3BF8">
        <w:t>т</w:t>
      </w:r>
      <w:r w:rsidRPr="001B3BF8">
        <w:t>окенизация</w:t>
      </w:r>
      <w:proofErr w:type="spellEnd"/>
      <w:r w:rsidRPr="001B3BF8">
        <w:t xml:space="preserve"> инфраструктуры ставит перед собой три цели: финансирование инициатив, демократизация инфраструктуры и повышение эффективности управления инфраструктурой. Эти цели взаимосвязаны и обеспечиваются основными характеристиками технологии </w:t>
      </w:r>
      <w:proofErr w:type="spellStart"/>
      <w:r w:rsidRPr="001B3BF8">
        <w:t>блокчейн</w:t>
      </w:r>
      <w:proofErr w:type="spellEnd"/>
      <w:r w:rsidRPr="001B3BF8">
        <w:t xml:space="preserve"> — децентрализацией, неизменяемостью и прозрачностью. Данные, полученные от использования и производительности инфраструктуры, могут выявить операционные неэффективности и открыть новые источники дохода для третьих сторон, планирующих создание новых услуг и возможности капитализации.</w:t>
      </w:r>
    </w:p>
    <w:p w14:paraId="3472B6A6" w14:textId="5FADEFF5" w:rsidR="001B3BF8" w:rsidRDefault="001B3BF8" w:rsidP="0034250E">
      <w:pPr>
        <w:pStyle w:val="ng-star-inserted"/>
        <w:spacing w:before="0" w:beforeAutospacing="0" w:after="0" w:afterAutospacing="0"/>
        <w:ind w:firstLine="709"/>
        <w:jc w:val="both"/>
        <w:rPr>
          <w:b/>
          <w:bCs/>
        </w:rPr>
      </w:pPr>
      <w:r w:rsidRPr="001B3BF8">
        <w:rPr>
          <w:b/>
          <w:bCs/>
        </w:rPr>
        <w:t>Литература</w:t>
      </w:r>
    </w:p>
    <w:p w14:paraId="2EDB63D8" w14:textId="6134FAC5" w:rsidR="001B3BF8" w:rsidRPr="0034250E" w:rsidRDefault="00000000" w:rsidP="0034250E">
      <w:pPr>
        <w:pStyle w:val="ng-star-inserted"/>
        <w:numPr>
          <w:ilvl w:val="0"/>
          <w:numId w:val="12"/>
        </w:numPr>
        <w:spacing w:before="0" w:beforeAutospacing="0" w:after="45"/>
        <w:jc w:val="both"/>
      </w:pPr>
      <w:hyperlink r:id="rId6" w:history="1">
        <w:r w:rsidR="0034250E" w:rsidRPr="00A4382E">
          <w:rPr>
            <w:rStyle w:val="ab"/>
          </w:rPr>
          <w:t>www.atomyze.ru</w:t>
        </w:r>
      </w:hyperlink>
      <w:r w:rsidR="009669BE">
        <w:t xml:space="preserve">. </w:t>
      </w:r>
      <w:r w:rsidR="0034250E" w:rsidRPr="0034250E">
        <w:t>(</w:t>
      </w:r>
      <w:proofErr w:type="spellStart"/>
      <w:r w:rsidR="0034250E" w:rsidRPr="0034250E">
        <w:t>Атомайз</w:t>
      </w:r>
      <w:proofErr w:type="spellEnd"/>
      <w:r w:rsidR="0034250E" w:rsidRPr="0034250E">
        <w:t xml:space="preserve"> - оператор ЦФА): </w:t>
      </w:r>
      <w:r w:rsidR="009669BE">
        <w:t>Цифровые финансовые активы, 2024</w:t>
      </w:r>
      <w:r w:rsidR="0034250E" w:rsidRPr="0034250E">
        <w:t>.</w:t>
      </w:r>
    </w:p>
    <w:p w14:paraId="56A981FB" w14:textId="11803F9F" w:rsidR="0034250E" w:rsidRPr="009669BE" w:rsidRDefault="0034250E" w:rsidP="009669BE">
      <w:pPr>
        <w:pStyle w:val="ng-star-inserted"/>
        <w:numPr>
          <w:ilvl w:val="0"/>
          <w:numId w:val="12"/>
        </w:numPr>
        <w:spacing w:after="45"/>
        <w:jc w:val="both"/>
      </w:pPr>
      <w:r w:rsidRPr="0034250E">
        <w:t xml:space="preserve">The World Bank. Infrastructure </w:t>
      </w:r>
      <w:proofErr w:type="spellStart"/>
      <w:r w:rsidRPr="0034250E">
        <w:t>tokenization</w:t>
      </w:r>
      <w:proofErr w:type="spellEnd"/>
      <w:r w:rsidRPr="0034250E">
        <w:t>, 2023.</w:t>
      </w:r>
    </w:p>
    <w:p w14:paraId="2A78DCE4" w14:textId="4FD90F0C" w:rsidR="009669BE" w:rsidRDefault="00000000" w:rsidP="009669BE">
      <w:pPr>
        <w:pStyle w:val="ng-star-inserted"/>
        <w:numPr>
          <w:ilvl w:val="0"/>
          <w:numId w:val="12"/>
        </w:numPr>
        <w:spacing w:after="45"/>
        <w:jc w:val="both"/>
      </w:pPr>
      <w:hyperlink r:id="rId7" w:history="1">
        <w:r w:rsidR="0034250E" w:rsidRPr="00A4382E">
          <w:rPr>
            <w:rStyle w:val="ab"/>
          </w:rPr>
          <w:t>www.binance.com</w:t>
        </w:r>
      </w:hyperlink>
      <w:r w:rsidR="0034250E" w:rsidRPr="009669BE">
        <w:t>.</w:t>
      </w:r>
      <w:r w:rsidR="0034250E" w:rsidRPr="0034250E">
        <w:t xml:space="preserve"> </w:t>
      </w:r>
      <w:proofErr w:type="spellStart"/>
      <w:r w:rsidR="009669BE" w:rsidRPr="009669BE">
        <w:t>Tokenized</w:t>
      </w:r>
      <w:proofErr w:type="spellEnd"/>
      <w:r w:rsidR="009669BE" w:rsidRPr="009669BE">
        <w:t xml:space="preserve"> Real World </w:t>
      </w:r>
      <w:proofErr w:type="spellStart"/>
      <w:r w:rsidR="009669BE" w:rsidRPr="009669BE">
        <w:t>Assets</w:t>
      </w:r>
      <w:proofErr w:type="spellEnd"/>
      <w:r w:rsidR="009669BE" w:rsidRPr="009669BE">
        <w:t xml:space="preserve"> </w:t>
      </w:r>
      <w:proofErr w:type="spellStart"/>
      <w:r w:rsidR="009669BE" w:rsidRPr="009669BE">
        <w:t>Could</w:t>
      </w:r>
      <w:proofErr w:type="spellEnd"/>
      <w:r w:rsidR="009669BE" w:rsidRPr="009669BE">
        <w:t xml:space="preserve"> </w:t>
      </w:r>
      <w:proofErr w:type="spellStart"/>
      <w:r w:rsidR="009669BE" w:rsidRPr="009669BE">
        <w:t>Revolutionize</w:t>
      </w:r>
      <w:proofErr w:type="spellEnd"/>
      <w:r w:rsidR="009669BE" w:rsidRPr="009669BE">
        <w:t xml:space="preserve"> Infrastructure Development</w:t>
      </w:r>
      <w:r w:rsidR="0034250E" w:rsidRPr="0034250E">
        <w:t>, 2024.</w:t>
      </w:r>
    </w:p>
    <w:p w14:paraId="1AA9B068" w14:textId="0A5BD676" w:rsidR="009669BE" w:rsidRPr="0034250E" w:rsidRDefault="00000000" w:rsidP="009669BE">
      <w:pPr>
        <w:pStyle w:val="ng-star-inserted"/>
        <w:numPr>
          <w:ilvl w:val="0"/>
          <w:numId w:val="12"/>
        </w:numPr>
        <w:spacing w:after="45"/>
        <w:jc w:val="both"/>
      </w:pPr>
      <w:hyperlink r:id="rId8" w:history="1">
        <w:r w:rsidR="0034250E" w:rsidRPr="00A4382E">
          <w:rPr>
            <w:rStyle w:val="ab"/>
          </w:rPr>
          <w:t>www.mckinsey.com</w:t>
        </w:r>
      </w:hyperlink>
      <w:r w:rsidR="0034250E" w:rsidRPr="0034250E">
        <w:t xml:space="preserve"> (McKinsey &amp; Company): </w:t>
      </w:r>
      <w:r w:rsidR="009669BE" w:rsidRPr="009669BE">
        <w:t xml:space="preserve">From </w:t>
      </w:r>
      <w:proofErr w:type="spellStart"/>
      <w:r w:rsidR="009669BE" w:rsidRPr="009669BE">
        <w:t>ripples</w:t>
      </w:r>
      <w:proofErr w:type="spellEnd"/>
      <w:r w:rsidR="009669BE" w:rsidRPr="009669BE">
        <w:t xml:space="preserve"> </w:t>
      </w:r>
      <w:proofErr w:type="spellStart"/>
      <w:r w:rsidR="009669BE" w:rsidRPr="009669BE">
        <w:t>to</w:t>
      </w:r>
      <w:proofErr w:type="spellEnd"/>
      <w:r w:rsidR="009669BE" w:rsidRPr="009669BE">
        <w:t xml:space="preserve"> </w:t>
      </w:r>
      <w:proofErr w:type="spellStart"/>
      <w:r w:rsidR="009669BE" w:rsidRPr="009669BE">
        <w:t>waves</w:t>
      </w:r>
      <w:proofErr w:type="spellEnd"/>
      <w:r w:rsidR="009669BE" w:rsidRPr="009669BE">
        <w:t xml:space="preserve">: The </w:t>
      </w:r>
      <w:proofErr w:type="spellStart"/>
      <w:r w:rsidR="009669BE" w:rsidRPr="009669BE">
        <w:t>transformational</w:t>
      </w:r>
      <w:proofErr w:type="spellEnd"/>
      <w:r w:rsidR="009669BE" w:rsidRPr="009669BE">
        <w:t xml:space="preserve"> </w:t>
      </w:r>
      <w:proofErr w:type="spellStart"/>
      <w:r w:rsidR="009669BE" w:rsidRPr="009669BE">
        <w:t>power</w:t>
      </w:r>
      <w:proofErr w:type="spellEnd"/>
      <w:r w:rsidR="009669BE" w:rsidRPr="009669BE">
        <w:t xml:space="preserve"> </w:t>
      </w:r>
      <w:proofErr w:type="spellStart"/>
      <w:r w:rsidR="009669BE" w:rsidRPr="009669BE">
        <w:t>of</w:t>
      </w:r>
      <w:proofErr w:type="spellEnd"/>
      <w:r w:rsidR="009669BE" w:rsidRPr="009669BE">
        <w:t xml:space="preserve"> </w:t>
      </w:r>
      <w:proofErr w:type="spellStart"/>
      <w:r w:rsidR="009669BE" w:rsidRPr="009669BE">
        <w:t>tokenizing</w:t>
      </w:r>
      <w:proofErr w:type="spellEnd"/>
      <w:r w:rsidR="009669BE" w:rsidRPr="009669BE">
        <w:t xml:space="preserve"> </w:t>
      </w:r>
      <w:proofErr w:type="spellStart"/>
      <w:r w:rsidR="009669BE" w:rsidRPr="009669BE">
        <w:t>assets</w:t>
      </w:r>
      <w:proofErr w:type="spellEnd"/>
      <w:r w:rsidR="0034250E" w:rsidRPr="0034250E">
        <w:t xml:space="preserve"> 2024.</w:t>
      </w:r>
    </w:p>
    <w:p w14:paraId="7C744B6D" w14:textId="11659E46" w:rsidR="0034250E" w:rsidRPr="009669BE" w:rsidRDefault="00000000" w:rsidP="0034250E">
      <w:pPr>
        <w:pStyle w:val="ng-star-inserted"/>
        <w:numPr>
          <w:ilvl w:val="0"/>
          <w:numId w:val="12"/>
        </w:numPr>
        <w:spacing w:after="45"/>
        <w:jc w:val="both"/>
      </w:pPr>
      <w:hyperlink r:id="rId9" w:history="1">
        <w:r w:rsidR="0034250E" w:rsidRPr="00A4382E">
          <w:rPr>
            <w:rStyle w:val="ab"/>
          </w:rPr>
          <w:t>www.difin.io</w:t>
        </w:r>
      </w:hyperlink>
      <w:r w:rsidR="0034250E">
        <w:rPr>
          <w:lang w:val="en-US"/>
        </w:rPr>
        <w:t xml:space="preserve"> </w:t>
      </w:r>
      <w:r w:rsidR="0034250E" w:rsidRPr="0034250E">
        <w:t xml:space="preserve">(U-M Center For Digital Asset Finance): Infrastructure Asset </w:t>
      </w:r>
      <w:proofErr w:type="spellStart"/>
      <w:r w:rsidR="0034250E" w:rsidRPr="0034250E">
        <w:t>Tokenization</w:t>
      </w:r>
      <w:proofErr w:type="spellEnd"/>
      <w:r w:rsidR="0034250E" w:rsidRPr="0034250E">
        <w:t>,</w:t>
      </w:r>
    </w:p>
    <w:sectPr w:rsidR="0034250E" w:rsidRPr="009669BE" w:rsidSect="0034250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A29"/>
    <w:multiLevelType w:val="multilevel"/>
    <w:tmpl w:val="7C8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B102B"/>
    <w:multiLevelType w:val="multilevel"/>
    <w:tmpl w:val="FE5E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ED4"/>
    <w:multiLevelType w:val="multilevel"/>
    <w:tmpl w:val="3AAA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73B4A"/>
    <w:multiLevelType w:val="multilevel"/>
    <w:tmpl w:val="8CF6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355CA"/>
    <w:multiLevelType w:val="multilevel"/>
    <w:tmpl w:val="E9C2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27E4D"/>
    <w:multiLevelType w:val="hybridMultilevel"/>
    <w:tmpl w:val="F4E6C884"/>
    <w:lvl w:ilvl="0" w:tplc="4E98A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B10F78"/>
    <w:multiLevelType w:val="multilevel"/>
    <w:tmpl w:val="1D10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64D59"/>
    <w:multiLevelType w:val="multilevel"/>
    <w:tmpl w:val="290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07C0B"/>
    <w:multiLevelType w:val="multilevel"/>
    <w:tmpl w:val="254C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C2F4A"/>
    <w:multiLevelType w:val="multilevel"/>
    <w:tmpl w:val="E9A6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D32D3"/>
    <w:multiLevelType w:val="multilevel"/>
    <w:tmpl w:val="F8E8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679EE"/>
    <w:multiLevelType w:val="hybridMultilevel"/>
    <w:tmpl w:val="2A50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3659">
    <w:abstractNumId w:val="11"/>
  </w:num>
  <w:num w:numId="2" w16cid:durableId="1445687199">
    <w:abstractNumId w:val="9"/>
  </w:num>
  <w:num w:numId="3" w16cid:durableId="629629666">
    <w:abstractNumId w:val="3"/>
  </w:num>
  <w:num w:numId="4" w16cid:durableId="1663048266">
    <w:abstractNumId w:val="6"/>
  </w:num>
  <w:num w:numId="5" w16cid:durableId="140466768">
    <w:abstractNumId w:val="2"/>
  </w:num>
  <w:num w:numId="6" w16cid:durableId="1163856970">
    <w:abstractNumId w:val="10"/>
  </w:num>
  <w:num w:numId="7" w16cid:durableId="714892699">
    <w:abstractNumId w:val="7"/>
  </w:num>
  <w:num w:numId="8" w16cid:durableId="195315885">
    <w:abstractNumId w:val="0"/>
  </w:num>
  <w:num w:numId="9" w16cid:durableId="2141915888">
    <w:abstractNumId w:val="1"/>
  </w:num>
  <w:num w:numId="10" w16cid:durableId="1448887486">
    <w:abstractNumId w:val="4"/>
  </w:num>
  <w:num w:numId="11" w16cid:durableId="62065328">
    <w:abstractNumId w:val="8"/>
  </w:num>
  <w:num w:numId="12" w16cid:durableId="44642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67"/>
    <w:rsid w:val="001B3BF8"/>
    <w:rsid w:val="001C71B6"/>
    <w:rsid w:val="002C7967"/>
    <w:rsid w:val="0034250E"/>
    <w:rsid w:val="006915A5"/>
    <w:rsid w:val="00766EFA"/>
    <w:rsid w:val="009669BE"/>
    <w:rsid w:val="0098718A"/>
    <w:rsid w:val="00C10905"/>
    <w:rsid w:val="00DD28F3"/>
    <w:rsid w:val="00EC5560"/>
    <w:rsid w:val="00E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96ED"/>
  <w15:chartTrackingRefBased/>
  <w15:docId w15:val="{008A9812-4CCA-3644-B658-F5C971D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71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1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C71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1C71B6"/>
    <w:rPr>
      <w:b/>
      <w:bCs/>
    </w:rPr>
  </w:style>
  <w:style w:type="character" w:customStyle="1" w:styleId="apple-converted-space">
    <w:name w:val="apple-converted-space"/>
    <w:basedOn w:val="a0"/>
    <w:rsid w:val="001C71B6"/>
  </w:style>
  <w:style w:type="paragraph" w:customStyle="1" w:styleId="fade-in-animation">
    <w:name w:val="fade-in-animation"/>
    <w:basedOn w:val="a"/>
    <w:rsid w:val="001C71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ng-star-inserted">
    <w:name w:val="ng-star-inserted"/>
    <w:basedOn w:val="a"/>
    <w:rsid w:val="001C71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g-star-inserted1">
    <w:name w:val="ng-star-inserted1"/>
    <w:basedOn w:val="a0"/>
    <w:rsid w:val="001C71B6"/>
  </w:style>
  <w:style w:type="character" w:styleId="a6">
    <w:name w:val="annotation reference"/>
    <w:basedOn w:val="a0"/>
    <w:uiPriority w:val="99"/>
    <w:semiHidden/>
    <w:unhideWhenUsed/>
    <w:rsid w:val="00DD28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28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28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28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D28F3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9669B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669B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4250E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3425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95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91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0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2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kinsey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na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omyz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fin.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3A4D-5A5F-4652-BDA0-07690CB2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838</Words>
  <Characters>5406</Characters>
  <Application>Microsoft Office Word</Application>
  <DocSecurity>0</DocSecurity>
  <Lines>135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Виноградова</dc:creator>
  <cp:keywords/>
  <dc:description/>
  <cp:lastModifiedBy>Алина В</cp:lastModifiedBy>
  <cp:revision>2</cp:revision>
  <dcterms:created xsi:type="dcterms:W3CDTF">2025-03-09T19:48:00Z</dcterms:created>
  <dcterms:modified xsi:type="dcterms:W3CDTF">2025-03-09T19:48:00Z</dcterms:modified>
</cp:coreProperties>
</file>