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D41C" w14:textId="77777777" w:rsidR="0063346C" w:rsidRDefault="0063346C">
      <w:pP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Электроосажденные</w:t>
      </w:r>
      <w:proofErr w:type="spellEnd"/>
      <w:r>
        <w:rPr>
          <w:b/>
          <w:color w:val="000000"/>
        </w:rPr>
        <w:t xml:space="preserve"> катализаторы на основе меди </w:t>
      </w:r>
      <w:r w:rsidRPr="004340BE">
        <w:rPr>
          <w:b/>
          <w:color w:val="000000"/>
        </w:rPr>
        <w:t xml:space="preserve">для </w:t>
      </w:r>
      <w:r>
        <w:rPr>
          <w:b/>
          <w:color w:val="000000"/>
        </w:rPr>
        <w:t>экол</w:t>
      </w:r>
      <w:r w:rsidR="00A84942">
        <w:rPr>
          <w:b/>
          <w:color w:val="000000"/>
        </w:rPr>
        <w:t>о</w:t>
      </w:r>
      <w:r>
        <w:rPr>
          <w:b/>
          <w:color w:val="000000"/>
        </w:rPr>
        <w:t xml:space="preserve">гически чистого </w:t>
      </w:r>
      <w:r w:rsidRPr="004340BE">
        <w:rPr>
          <w:b/>
          <w:color w:val="000000"/>
        </w:rPr>
        <w:t>электрохимического п</w:t>
      </w:r>
      <w:r>
        <w:rPr>
          <w:b/>
          <w:color w:val="000000"/>
        </w:rPr>
        <w:t>реобразования нитратов в аммиак</w:t>
      </w:r>
    </w:p>
    <w:p w14:paraId="7D4B0285" w14:textId="02DFA89C" w:rsidR="0063346C" w:rsidRDefault="0063346C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Полякова О.В., Кузнецова И.И., </w:t>
      </w:r>
      <w:proofErr w:type="spellStart"/>
      <w:r>
        <w:rPr>
          <w:b/>
          <w:i/>
          <w:color w:val="000000"/>
        </w:rPr>
        <w:t>Культин</w:t>
      </w:r>
      <w:proofErr w:type="spellEnd"/>
      <w:r>
        <w:rPr>
          <w:b/>
          <w:i/>
          <w:color w:val="000000"/>
        </w:rPr>
        <w:t xml:space="preserve"> Д.Ю., Лебедева О.К., Кустов Л.М.</w:t>
      </w:r>
      <w:r w:rsidRPr="00BF4622">
        <w:rPr>
          <w:b/>
          <w:color w:val="000000"/>
        </w:rPr>
        <w:t xml:space="preserve"> </w:t>
      </w:r>
    </w:p>
    <w:p w14:paraId="41ACAC0A" w14:textId="77777777" w:rsidR="0063346C" w:rsidRDefault="0063346C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специалитета</w:t>
      </w:r>
    </w:p>
    <w:p w14:paraId="1850E210" w14:textId="59542297" w:rsidR="0063346C" w:rsidRPr="000E334E" w:rsidRDefault="0063346C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71FD3EE6" w14:textId="77777777" w:rsidR="0063346C" w:rsidRPr="006E5F28" w:rsidRDefault="0063346C">
      <w:pPr>
        <w:shd w:val="clear" w:color="auto" w:fill="FFFFFF"/>
        <w:jc w:val="center"/>
        <w:rPr>
          <w:color w:val="000000"/>
          <w:lang w:val="it-IT"/>
        </w:rPr>
      </w:pPr>
      <w:r w:rsidRPr="006E5F28">
        <w:rPr>
          <w:i/>
          <w:color w:val="000000"/>
          <w:u w:val="single"/>
          <w:lang w:val="it-IT"/>
        </w:rPr>
        <w:t>E-mail: olesya_pol05@mail.ru</w:t>
      </w:r>
    </w:p>
    <w:p w14:paraId="1B62FB83" w14:textId="635CA6D0" w:rsidR="0063346C" w:rsidRDefault="0063346C" w:rsidP="00CD00B1">
      <w:pPr>
        <w:shd w:val="clear" w:color="auto" w:fill="FFFFFF"/>
        <w:ind w:firstLine="397"/>
        <w:jc w:val="both"/>
      </w:pPr>
      <w:r>
        <w:rPr>
          <w:color w:val="000000"/>
        </w:rPr>
        <w:t xml:space="preserve">Получение аммиака помимо синтеза по </w:t>
      </w:r>
      <w:proofErr w:type="spellStart"/>
      <w:r>
        <w:rPr>
          <w:color w:val="000000"/>
        </w:rPr>
        <w:t>Габеру</w:t>
      </w:r>
      <w:proofErr w:type="spellEnd"/>
      <w:r>
        <w:rPr>
          <w:color w:val="000000"/>
        </w:rPr>
        <w:t xml:space="preserve">-Бошу, который требует высокого давления и температуры, </w:t>
      </w:r>
      <w:r>
        <w:rPr>
          <w:rStyle w:val="ezkurwreuab5ozgtqnkl"/>
        </w:rPr>
        <w:t>потребляет</w:t>
      </w:r>
      <w:r>
        <w:t xml:space="preserve"> </w:t>
      </w:r>
      <w:r>
        <w:rPr>
          <w:rStyle w:val="ezkurwreuab5ozgtqnkl"/>
        </w:rPr>
        <w:t>большое</w:t>
      </w:r>
      <w:r>
        <w:t xml:space="preserve"> </w:t>
      </w:r>
      <w:r>
        <w:rPr>
          <w:rStyle w:val="ezkurwreuab5ozgtqnkl"/>
        </w:rPr>
        <w:t>количество</w:t>
      </w:r>
      <w:r>
        <w:t xml:space="preserve"> </w:t>
      </w:r>
      <w:r>
        <w:rPr>
          <w:rStyle w:val="ezkurwreuab5ozgtqnkl"/>
        </w:rPr>
        <w:t>природного</w:t>
      </w:r>
      <w:r>
        <w:t xml:space="preserve"> </w:t>
      </w:r>
      <w:r>
        <w:rPr>
          <w:rStyle w:val="ezkurwreuab5ozgtqnkl"/>
        </w:rPr>
        <w:t>газа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приводит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r>
        <w:rPr>
          <w:rStyle w:val="ezkurwreuab5ozgtqnkl"/>
        </w:rPr>
        <w:t>серьезным</w:t>
      </w:r>
      <w:r>
        <w:t xml:space="preserve"> </w:t>
      </w:r>
      <w:r>
        <w:rPr>
          <w:rStyle w:val="ezkurwreuab5ozgtqnkl"/>
        </w:rPr>
        <w:t>энергетическим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экологическим</w:t>
      </w:r>
      <w:r>
        <w:t xml:space="preserve"> </w:t>
      </w:r>
      <w:r>
        <w:rPr>
          <w:rStyle w:val="ezkurwreuab5ozgtqnkl"/>
        </w:rPr>
        <w:t>проблемам</w:t>
      </w:r>
      <w:r w:rsidR="00755123" w:rsidRPr="00755123">
        <w:rPr>
          <w:rStyle w:val="ezkurwreuab5ozgtqnkl"/>
        </w:rPr>
        <w:t>,</w:t>
      </w:r>
      <w:r>
        <w:rPr>
          <w:color w:val="000000"/>
        </w:rPr>
        <w:t xml:space="preserve"> возможно осуществить экологичным способом с помощью электрохимического превращения азота в аммиак. Электрохимическое превращение </w:t>
      </w:r>
      <w:r>
        <w:rPr>
          <w:noProof/>
        </w:rPr>
        <w:t xml:space="preserve">проводится при </w:t>
      </w:r>
      <w:hyperlink r:id="rId5" w:tooltip="Узнайте больше о комнатной температуре на тематических страницах ScienceDirect, созданных с помощью искусственного интеллекта" w:history="1">
        <w:r w:rsidRPr="00BA0B82">
          <w:rPr>
            <w:noProof/>
          </w:rPr>
          <w:t>комнатной температуре</w:t>
        </w:r>
      </w:hyperlink>
      <w:r>
        <w:rPr>
          <w:noProof/>
        </w:rPr>
        <w:t xml:space="preserve"> </w:t>
      </w:r>
      <w:r w:rsidRPr="00BA0B82">
        <w:rPr>
          <w:noProof/>
        </w:rPr>
        <w:t xml:space="preserve">и </w:t>
      </w:r>
      <w:r>
        <w:rPr>
          <w:noProof/>
        </w:rPr>
        <w:t xml:space="preserve">атмосферном </w:t>
      </w:r>
      <w:r w:rsidRPr="00BA0B82">
        <w:rPr>
          <w:noProof/>
        </w:rPr>
        <w:t>давлении, но имеет низкую эффективность из-за трудностей</w:t>
      </w:r>
      <w:r w:rsidR="00755123" w:rsidRPr="00755123">
        <w:rPr>
          <w:noProof/>
        </w:rPr>
        <w:t>,</w:t>
      </w:r>
      <w:r w:rsidRPr="00BA0B82">
        <w:rPr>
          <w:noProof/>
        </w:rPr>
        <w:t xml:space="preserve"> связанных с разрывом тройной связи азота.</w:t>
      </w:r>
      <w:r>
        <w:rPr>
          <w:noProof/>
        </w:rPr>
        <w:t xml:space="preserve"> Дополнительным источником получения аммиака может служить преобразование нитратов в аммиак. </w:t>
      </w:r>
      <w:r>
        <w:rPr>
          <w:rStyle w:val="ezkurwreuab5ozgtqnkl"/>
        </w:rPr>
        <w:t>Реакция</w:t>
      </w:r>
      <w:r>
        <w:t xml:space="preserve"> </w:t>
      </w:r>
      <w:r>
        <w:rPr>
          <w:rStyle w:val="ezkurwreuab5ozgtqnkl"/>
        </w:rPr>
        <w:t>электрокаталитического</w:t>
      </w:r>
      <w:r>
        <w:t xml:space="preserve"> </w:t>
      </w:r>
      <w:r>
        <w:rPr>
          <w:rStyle w:val="ezkurwreuab5ozgtqnkl"/>
        </w:rPr>
        <w:t>восстановления</w:t>
      </w:r>
      <w:r>
        <w:t xml:space="preserve"> </w:t>
      </w:r>
      <w:r>
        <w:rPr>
          <w:rStyle w:val="ezkurwreuab5ozgtqnkl"/>
        </w:rPr>
        <w:t>нитратов</w:t>
      </w:r>
      <w:r>
        <w:t xml:space="preserve"> </w:t>
      </w:r>
      <w:r>
        <w:rPr>
          <w:rStyle w:val="ezkurwreuab5ozgtqnkl"/>
        </w:rPr>
        <w:t>может быть предложена</w:t>
      </w:r>
      <w:r>
        <w:t xml:space="preserve"> в качестве альтернативного эффективного метода, благодаря тому, что в этой реакции </w:t>
      </w:r>
      <w:r>
        <w:rPr>
          <w:rStyle w:val="ezkurwreuab5ozgtqnkl"/>
        </w:rPr>
        <w:t>обеспечивается</w:t>
      </w:r>
      <w:r>
        <w:t xml:space="preserve"> </w:t>
      </w:r>
      <w:r>
        <w:rPr>
          <w:rStyle w:val="ezkurwreuab5ozgtqnkl"/>
        </w:rPr>
        <w:t>стабильный</w:t>
      </w:r>
      <w:r>
        <w:t xml:space="preserve"> </w:t>
      </w:r>
      <w:r>
        <w:rPr>
          <w:rStyle w:val="ezkurwreuab5ozgtqnkl"/>
        </w:rPr>
        <w:t>синтез</w:t>
      </w:r>
      <w:r>
        <w:t xml:space="preserve"> </w:t>
      </w:r>
      <w:r>
        <w:rPr>
          <w:rStyle w:val="ezkurwreuab5ozgtqnkl"/>
        </w:rPr>
        <w:t>аммиака и, кроме того,</w:t>
      </w:r>
      <w:r>
        <w:t xml:space="preserve"> </w:t>
      </w:r>
      <w:r>
        <w:rPr>
          <w:rStyle w:val="ezkurwreuab5ozgtqnkl"/>
        </w:rPr>
        <w:t>устраняется</w:t>
      </w:r>
      <w:r>
        <w:t xml:space="preserve"> </w:t>
      </w:r>
      <w:r>
        <w:rPr>
          <w:rStyle w:val="ezkurwreuab5ozgtqnkl"/>
        </w:rPr>
        <w:t>загрязнение</w:t>
      </w:r>
      <w:r>
        <w:t xml:space="preserve"> </w:t>
      </w:r>
      <w:r>
        <w:rPr>
          <w:rStyle w:val="ezkurwreuab5ozgtqnkl"/>
        </w:rPr>
        <w:t>окружающей</w:t>
      </w:r>
      <w:r>
        <w:t xml:space="preserve"> среды нитратами</w:t>
      </w:r>
      <w:r>
        <w:rPr>
          <w:rStyle w:val="ezkurwreuab5ozgtqnkl"/>
        </w:rPr>
        <w:t>.</w:t>
      </w:r>
      <w:r>
        <w:t xml:space="preserve"> Процесс</w:t>
      </w:r>
      <w:r w:rsidRPr="00202BF0">
        <w:t xml:space="preserve"> </w:t>
      </w:r>
      <w:r>
        <w:t>синтеза</w:t>
      </w:r>
      <w:r w:rsidRPr="00202BF0">
        <w:t xml:space="preserve"> </w:t>
      </w:r>
      <w:r>
        <w:t>можно</w:t>
      </w:r>
      <w:r w:rsidRPr="00202BF0">
        <w:t xml:space="preserve"> </w:t>
      </w:r>
      <w:r>
        <w:t>описать</w:t>
      </w:r>
      <w:r w:rsidRPr="00202BF0">
        <w:t xml:space="preserve"> </w:t>
      </w:r>
      <w:r>
        <w:t>следующими уравнениями:</w:t>
      </w:r>
    </w:p>
    <w:p w14:paraId="3F57911A" w14:textId="5D8E0955" w:rsidR="0063346C" w:rsidRPr="00A47BB0" w:rsidRDefault="0063346C" w:rsidP="00D4402A">
      <w:pPr>
        <w:pStyle w:val="aa"/>
        <w:ind w:firstLine="397"/>
        <w:jc w:val="center"/>
        <w:rPr>
          <w:rFonts w:ascii="Times New Roman" w:hAnsi="Times New Roman"/>
          <w:sz w:val="24"/>
          <w:szCs w:val="24"/>
          <w:lang w:val="it-IT"/>
        </w:rPr>
      </w:pPr>
      <w:r w:rsidRPr="00A47BB0">
        <w:rPr>
          <w:rFonts w:ascii="Times New Roman" w:hAnsi="Times New Roman"/>
          <w:sz w:val="24"/>
          <w:szCs w:val="24"/>
          <w:lang w:val="it-IT"/>
        </w:rPr>
        <w:t>NO</w:t>
      </w:r>
      <w:r w:rsidRPr="00A47BB0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A47BB0">
        <w:rPr>
          <w:rFonts w:ascii="Times New Roman" w:hAnsi="Times New Roman"/>
          <w:sz w:val="24"/>
          <w:szCs w:val="24"/>
          <w:vertAlign w:val="superscript"/>
          <w:lang w:val="it-IT"/>
        </w:rPr>
        <w:t>–</w:t>
      </w:r>
      <w:r w:rsidRPr="00A47BB0">
        <w:rPr>
          <w:rFonts w:ascii="Times New Roman" w:hAnsi="Times New Roman"/>
          <w:sz w:val="24"/>
          <w:szCs w:val="24"/>
          <w:lang w:val="it-IT"/>
        </w:rPr>
        <w:t> + 6H</w:t>
      </w:r>
      <w:r w:rsidRPr="00A47BB0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A47BB0">
        <w:rPr>
          <w:rFonts w:ascii="Times New Roman" w:hAnsi="Times New Roman"/>
          <w:sz w:val="24"/>
          <w:szCs w:val="24"/>
          <w:lang w:val="it-IT"/>
        </w:rPr>
        <w:t>O + 8e</w:t>
      </w:r>
      <w:r w:rsidRPr="00A47BB0">
        <w:rPr>
          <w:rFonts w:ascii="Times New Roman" w:hAnsi="Times New Roman"/>
          <w:sz w:val="24"/>
          <w:szCs w:val="24"/>
          <w:vertAlign w:val="superscript"/>
          <w:lang w:val="it-IT"/>
        </w:rPr>
        <w:t>-</w:t>
      </w:r>
      <w:r w:rsidRPr="00A47BB0">
        <w:rPr>
          <w:rFonts w:ascii="Times New Roman" w:hAnsi="Times New Roman"/>
          <w:sz w:val="24"/>
          <w:szCs w:val="24"/>
          <w:lang w:val="it-IT"/>
        </w:rPr>
        <w:t> </w:t>
      </w:r>
      <w:r w:rsidRPr="00A47BB0">
        <w:rPr>
          <w:rFonts w:ascii="Segoe UI Symbol" w:hAnsi="Segoe UI Symbol" w:cs="Segoe UI Symbol"/>
          <w:sz w:val="24"/>
          <w:szCs w:val="24"/>
          <w:lang w:val="ru-RU"/>
        </w:rPr>
        <w:t>⟶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 NH</w:t>
      </w:r>
      <w:r w:rsidRPr="00A47BB0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A47BB0">
        <w:rPr>
          <w:rFonts w:ascii="Times New Roman" w:hAnsi="Times New Roman"/>
          <w:sz w:val="24"/>
          <w:szCs w:val="24"/>
          <w:lang w:val="it-IT"/>
        </w:rPr>
        <w:t> + 9OH</w:t>
      </w:r>
      <w:r w:rsidRPr="00A47BB0">
        <w:rPr>
          <w:rFonts w:ascii="Times New Roman" w:hAnsi="Times New Roman"/>
          <w:sz w:val="24"/>
          <w:szCs w:val="24"/>
          <w:vertAlign w:val="superscript"/>
          <w:lang w:val="it-IT"/>
        </w:rPr>
        <w:t>-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  E°= −0.132 </w:t>
      </w:r>
      <w:r w:rsidRPr="00A47BB0">
        <w:rPr>
          <w:rFonts w:ascii="Times New Roman" w:hAnsi="Times New Roman"/>
          <w:sz w:val="24"/>
          <w:szCs w:val="24"/>
          <w:lang w:val="ru-RU"/>
        </w:rPr>
        <w:t>В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 (pH=14) </w:t>
      </w:r>
      <w:proofErr w:type="spellStart"/>
      <w:r w:rsidRPr="00A47BB0">
        <w:rPr>
          <w:rFonts w:ascii="Times New Roman" w:hAnsi="Times New Roman"/>
          <w:sz w:val="24"/>
          <w:szCs w:val="24"/>
          <w:lang w:val="ru-RU"/>
        </w:rPr>
        <w:t>отн</w:t>
      </w:r>
      <w:proofErr w:type="spellEnd"/>
      <w:r w:rsidRPr="00A47BB0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A47BB0">
        <w:rPr>
          <w:rFonts w:ascii="Times New Roman" w:hAnsi="Times New Roman"/>
          <w:sz w:val="24"/>
          <w:szCs w:val="24"/>
          <w:lang w:val="ru-RU"/>
        </w:rPr>
        <w:t>СВЭ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47BB0">
        <w:rPr>
          <w:rFonts w:ascii="Times New Roman" w:hAnsi="Times New Roman"/>
          <w:sz w:val="24"/>
          <w:szCs w:val="24"/>
          <w:lang w:val="it-IT"/>
        </w:rPr>
        <w:tab/>
        <w:t>(1)</w:t>
      </w:r>
    </w:p>
    <w:p w14:paraId="1D667B59" w14:textId="11D860BB" w:rsidR="0063346C" w:rsidRPr="00A47BB0" w:rsidRDefault="0063346C" w:rsidP="00D4402A">
      <w:pPr>
        <w:pStyle w:val="aa"/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r w:rsidRPr="00A47BB0">
        <w:rPr>
          <w:rFonts w:ascii="Times New Roman" w:hAnsi="Times New Roman"/>
          <w:sz w:val="24"/>
          <w:szCs w:val="24"/>
          <w:lang w:val="it-IT"/>
        </w:rPr>
        <w:t>NO</w:t>
      </w:r>
      <w:r w:rsidRPr="00A47BB0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A47BB0">
        <w:rPr>
          <w:rFonts w:ascii="Times New Roman" w:hAnsi="Times New Roman"/>
          <w:sz w:val="24"/>
          <w:szCs w:val="24"/>
          <w:vertAlign w:val="superscript"/>
          <w:lang w:val="it-IT"/>
        </w:rPr>
        <w:t>–</w:t>
      </w:r>
      <w:r w:rsidRPr="00A47BB0">
        <w:rPr>
          <w:rFonts w:ascii="Times New Roman" w:hAnsi="Times New Roman"/>
          <w:sz w:val="24"/>
          <w:szCs w:val="24"/>
          <w:lang w:val="it-IT"/>
        </w:rPr>
        <w:t> + 9H </w:t>
      </w:r>
      <w:r w:rsidRPr="00A47BB0">
        <w:rPr>
          <w:rFonts w:ascii="Times New Roman" w:hAnsi="Times New Roman"/>
          <w:sz w:val="24"/>
          <w:szCs w:val="24"/>
          <w:vertAlign w:val="superscript"/>
          <w:lang w:val="it-IT"/>
        </w:rPr>
        <w:t>+</w:t>
      </w:r>
      <w:r w:rsidRPr="00A47BB0">
        <w:rPr>
          <w:rFonts w:ascii="Times New Roman" w:hAnsi="Times New Roman"/>
          <w:sz w:val="24"/>
          <w:szCs w:val="24"/>
          <w:lang w:val="it-IT"/>
        </w:rPr>
        <w:t> + 8e</w:t>
      </w:r>
      <w:r w:rsidRPr="00A47BB0">
        <w:rPr>
          <w:rFonts w:ascii="Times New Roman" w:hAnsi="Times New Roman"/>
          <w:sz w:val="24"/>
          <w:szCs w:val="24"/>
          <w:vertAlign w:val="superscript"/>
          <w:lang w:val="it-IT"/>
        </w:rPr>
        <w:t>-</w:t>
      </w:r>
      <w:r w:rsidRPr="00A47BB0">
        <w:rPr>
          <w:rFonts w:ascii="Times New Roman" w:hAnsi="Times New Roman"/>
          <w:sz w:val="24"/>
          <w:szCs w:val="24"/>
          <w:lang w:val="it-IT"/>
        </w:rPr>
        <w:t> </w:t>
      </w:r>
      <w:r w:rsidRPr="00A47BB0">
        <w:rPr>
          <w:rFonts w:ascii="Segoe UI Symbol" w:hAnsi="Segoe UI Symbol" w:cs="Segoe UI Symbol"/>
          <w:sz w:val="24"/>
          <w:szCs w:val="24"/>
          <w:lang w:val="ru-RU"/>
        </w:rPr>
        <w:t>⟶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 NH</w:t>
      </w:r>
      <w:r w:rsidRPr="00A47BB0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A47BB0">
        <w:rPr>
          <w:rFonts w:ascii="Times New Roman" w:hAnsi="Times New Roman"/>
          <w:sz w:val="24"/>
          <w:szCs w:val="24"/>
          <w:lang w:val="it-IT"/>
        </w:rPr>
        <w:t> + 3H</w:t>
      </w:r>
      <w:r w:rsidRPr="00A47BB0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O </w:t>
      </w:r>
      <w:r w:rsidR="00755123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A47BB0">
        <w:rPr>
          <w:rFonts w:ascii="Times New Roman" w:hAnsi="Times New Roman"/>
          <w:sz w:val="24"/>
          <w:szCs w:val="24"/>
          <w:lang w:val="it-IT"/>
        </w:rPr>
        <w:t>E°=</w:t>
      </w:r>
      <w:r w:rsidR="0075512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+0.799 </w:t>
      </w:r>
      <w:r w:rsidRPr="00A47BB0">
        <w:rPr>
          <w:rFonts w:ascii="Times New Roman" w:hAnsi="Times New Roman"/>
          <w:sz w:val="24"/>
          <w:szCs w:val="24"/>
          <w:lang w:val="ru-RU"/>
        </w:rPr>
        <w:t>В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A47BB0">
        <w:rPr>
          <w:rFonts w:ascii="Times New Roman" w:hAnsi="Times New Roman"/>
          <w:sz w:val="24"/>
          <w:szCs w:val="24"/>
          <w:lang w:val="ru-RU"/>
        </w:rPr>
        <w:t>рН</w:t>
      </w:r>
      <w:r w:rsidRPr="00A47BB0">
        <w:rPr>
          <w:rFonts w:ascii="Times New Roman" w:hAnsi="Times New Roman"/>
          <w:sz w:val="24"/>
          <w:szCs w:val="24"/>
          <w:lang w:val="it-IT"/>
        </w:rPr>
        <w:t xml:space="preserve">=0) </w:t>
      </w:r>
      <w:proofErr w:type="spellStart"/>
      <w:r w:rsidRPr="00A47BB0">
        <w:rPr>
          <w:rFonts w:ascii="Times New Roman" w:hAnsi="Times New Roman"/>
          <w:sz w:val="24"/>
          <w:szCs w:val="24"/>
          <w:lang w:val="ru-RU"/>
        </w:rPr>
        <w:t>отн</w:t>
      </w:r>
      <w:proofErr w:type="spellEnd"/>
      <w:r w:rsidRPr="00A47BB0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A47BB0">
        <w:rPr>
          <w:rFonts w:ascii="Times New Roman" w:hAnsi="Times New Roman"/>
          <w:sz w:val="24"/>
          <w:szCs w:val="24"/>
          <w:lang w:val="ru-RU"/>
        </w:rPr>
        <w:t xml:space="preserve">СВЭ </w:t>
      </w:r>
      <w:r w:rsidRPr="00A47BB0">
        <w:rPr>
          <w:rFonts w:ascii="Times New Roman" w:hAnsi="Times New Roman"/>
          <w:sz w:val="24"/>
          <w:szCs w:val="24"/>
          <w:lang w:val="ru-RU"/>
        </w:rPr>
        <w:tab/>
      </w:r>
      <w:r w:rsidRPr="00A47BB0">
        <w:rPr>
          <w:rFonts w:ascii="Times New Roman" w:hAnsi="Times New Roman"/>
          <w:sz w:val="24"/>
          <w:szCs w:val="24"/>
          <w:lang w:val="ru-RU"/>
        </w:rPr>
        <w:tab/>
        <w:t>(2)</w:t>
      </w:r>
    </w:p>
    <w:p w14:paraId="7F96C431" w14:textId="77777777" w:rsidR="0063346C" w:rsidRDefault="0063346C" w:rsidP="00E9497B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этой реакции имеет большие перспективы возможное использование переходных металлов из-за дешевизны и их </w:t>
      </w:r>
      <w:r>
        <w:rPr>
          <w:noProof/>
        </w:rPr>
        <w:t>у</w:t>
      </w:r>
      <w:r w:rsidRPr="00BA0B82">
        <w:rPr>
          <w:noProof/>
        </w:rPr>
        <w:t>никальн</w:t>
      </w:r>
      <w:r>
        <w:rPr>
          <w:noProof/>
        </w:rPr>
        <w:t>ой электронной</w:t>
      </w:r>
      <w:r w:rsidRPr="00BA0B82">
        <w:rPr>
          <w:noProof/>
        </w:rPr>
        <w:t xml:space="preserve"> структур</w:t>
      </w:r>
      <w:r>
        <w:rPr>
          <w:noProof/>
        </w:rPr>
        <w:t xml:space="preserve">ы, позволяющей </w:t>
      </w:r>
      <w:r w:rsidR="00A84942">
        <w:rPr>
          <w:noProof/>
        </w:rPr>
        <w:t>создать эффективные электрокатализаторы</w:t>
      </w:r>
      <w:r>
        <w:rPr>
          <w:noProof/>
        </w:rPr>
        <w:t xml:space="preserve">. </w:t>
      </w:r>
      <w:r>
        <w:rPr>
          <w:color w:val="000000"/>
        </w:rPr>
        <w:t>М</w:t>
      </w:r>
      <w:r w:rsidRPr="00F10CF1">
        <w:rPr>
          <w:color w:val="000000"/>
        </w:rPr>
        <w:t xml:space="preserve">атериалы на основе </w:t>
      </w:r>
      <w:proofErr w:type="spellStart"/>
      <w:r w:rsidRPr="00F10CF1">
        <w:rPr>
          <w:color w:val="000000"/>
        </w:rPr>
        <w:t>Cu</w:t>
      </w:r>
      <w:proofErr w:type="spellEnd"/>
      <w:r w:rsidRPr="00F10CF1">
        <w:rPr>
          <w:color w:val="000000"/>
        </w:rPr>
        <w:t xml:space="preserve"> демонстрируют </w:t>
      </w:r>
      <w:r>
        <w:rPr>
          <w:color w:val="000000"/>
        </w:rPr>
        <w:t>высокую</w:t>
      </w:r>
      <w:r w:rsidRPr="00F10CF1">
        <w:rPr>
          <w:color w:val="000000"/>
        </w:rPr>
        <w:t xml:space="preserve"> каталитическую эффективность для восстановления нитрата по сравнению с другими металлическими катализаторами</w:t>
      </w:r>
      <w:r>
        <w:rPr>
          <w:color w:val="000000"/>
        </w:rPr>
        <w:t xml:space="preserve"> благодаря повышенной адсорбции нитрата на поверхности.</w:t>
      </w:r>
    </w:p>
    <w:p w14:paraId="55F19B36" w14:textId="77777777" w:rsidR="0063346C" w:rsidRDefault="0063346C" w:rsidP="00916E20">
      <w:pPr>
        <w:shd w:val="clear" w:color="auto" w:fill="FFFFFF"/>
        <w:ind w:firstLine="397"/>
        <w:jc w:val="both"/>
        <w:rPr>
          <w:rStyle w:val="ezkurwreuab5ozgtqnkl"/>
        </w:rPr>
      </w:pPr>
      <w:r>
        <w:rPr>
          <w:color w:val="000000"/>
        </w:rPr>
        <w:t xml:space="preserve">Целью работы был синтез </w:t>
      </w:r>
      <w:proofErr w:type="spellStart"/>
      <w:r w:rsidR="00A47BB0">
        <w:rPr>
          <w:color w:val="000000"/>
        </w:rPr>
        <w:t>электро</w:t>
      </w:r>
      <w:r>
        <w:rPr>
          <w:color w:val="000000"/>
        </w:rPr>
        <w:t>катализатор</w:t>
      </w:r>
      <w:r w:rsidR="00A47BB0">
        <w:rPr>
          <w:color w:val="000000"/>
        </w:rPr>
        <w:t>а</w:t>
      </w:r>
      <w:proofErr w:type="spellEnd"/>
      <w:r>
        <w:rPr>
          <w:color w:val="000000"/>
        </w:rPr>
        <w:t xml:space="preserve"> на основе </w:t>
      </w:r>
      <w:r w:rsidR="00A47BB0">
        <w:rPr>
          <w:color w:val="000000"/>
        </w:rPr>
        <w:t xml:space="preserve">осаждения </w:t>
      </w:r>
      <w:r>
        <w:rPr>
          <w:color w:val="000000"/>
        </w:rPr>
        <w:t xml:space="preserve">меди на </w:t>
      </w:r>
      <w:r w:rsidR="00A47BB0">
        <w:rPr>
          <w:color w:val="000000"/>
        </w:rPr>
        <w:t xml:space="preserve">графитовую подложку </w:t>
      </w:r>
      <w:r>
        <w:rPr>
          <w:color w:val="000000"/>
        </w:rPr>
        <w:t xml:space="preserve">и </w:t>
      </w:r>
      <w:r w:rsidR="00A47BB0">
        <w:rPr>
          <w:color w:val="000000"/>
        </w:rPr>
        <w:t xml:space="preserve">массивный медный </w:t>
      </w:r>
      <w:r>
        <w:rPr>
          <w:color w:val="000000"/>
        </w:rPr>
        <w:t>электрод, с получением тонкого покрытия в несколько нм (Рис.1).</w:t>
      </w:r>
      <w:r w:rsidRPr="00E3479A">
        <w:t xml:space="preserve"> </w:t>
      </w:r>
      <w:r w:rsidR="00A47BB0">
        <w:rPr>
          <w:rStyle w:val="ezkurwreuab5ozgtqnkl"/>
        </w:rPr>
        <w:t xml:space="preserve">Было проведено тестирование катализаторов в реакции электровосстановления нитрата до аммиака при постоянном потенциале. </w:t>
      </w:r>
      <w:r>
        <w:rPr>
          <w:rStyle w:val="ezkurwreuab5ozgtqnkl"/>
        </w:rPr>
        <w:t>Источником</w:t>
      </w:r>
      <w:r>
        <w:t xml:space="preserve"> </w:t>
      </w:r>
      <w:r>
        <w:rPr>
          <w:rStyle w:val="ezkurwreuab5ozgtqnkl"/>
        </w:rPr>
        <w:t>активных</w:t>
      </w:r>
      <w:r>
        <w:t xml:space="preserve"> </w:t>
      </w:r>
      <w:r>
        <w:rPr>
          <w:rStyle w:val="ezkurwreuab5ozgtqnkl"/>
        </w:rPr>
        <w:t>каталитических</w:t>
      </w:r>
      <w:r>
        <w:t xml:space="preserve"> </w:t>
      </w:r>
      <w:r>
        <w:rPr>
          <w:rStyle w:val="ezkurwreuab5ozgtqnkl"/>
        </w:rPr>
        <w:t>центров</w:t>
      </w:r>
      <w:r>
        <w:t xml:space="preserve"> </w:t>
      </w:r>
      <w:r>
        <w:rPr>
          <w:rStyle w:val="ezkurwreuab5ozgtqnkl"/>
        </w:rPr>
        <w:t>служили</w:t>
      </w:r>
      <w:r>
        <w:t xml:space="preserve"> </w:t>
      </w:r>
      <w:r>
        <w:rPr>
          <w:rStyle w:val="ezkurwreuab5ozgtqnkl"/>
        </w:rPr>
        <w:t>осажденные</w:t>
      </w:r>
      <w:r>
        <w:t xml:space="preserve"> </w:t>
      </w:r>
      <w:r>
        <w:rPr>
          <w:rStyle w:val="ezkurwreuab5ozgtqnkl"/>
        </w:rPr>
        <w:t>микро- и наночастицы</w:t>
      </w:r>
      <w:r>
        <w:t xml:space="preserve"> </w:t>
      </w:r>
      <w:r>
        <w:rPr>
          <w:rStyle w:val="ezkurwreuab5ozgtqnkl"/>
        </w:rPr>
        <w:t xml:space="preserve">меди (Рис.1).  Оценка эффективности катализаторов проводилась с помощью расчета выхода аммиака по току (%). </w:t>
      </w:r>
      <w:r w:rsidR="00E9497B">
        <w:rPr>
          <w:rStyle w:val="ezkurwreuab5ozgtqnkl"/>
        </w:rPr>
        <w:t>Наилучший</w:t>
      </w:r>
      <w:r>
        <w:rPr>
          <w:rStyle w:val="ezkurwreuab5ozgtqnkl"/>
        </w:rPr>
        <w:t xml:space="preserve"> результат был достигнут для катализатора</w:t>
      </w:r>
      <w:r w:rsidR="00A47BB0" w:rsidRPr="00A47BB0">
        <w:rPr>
          <w:rStyle w:val="ezkurwreuab5ozgtqnkl"/>
        </w:rPr>
        <w:t xml:space="preserve"> </w:t>
      </w:r>
      <w:r w:rsidR="00A47BB0">
        <w:rPr>
          <w:rStyle w:val="ezkurwreuab5ozgtqnkl"/>
          <w:lang w:val="en-US"/>
        </w:rPr>
        <w:t>Cu</w:t>
      </w:r>
      <w:r w:rsidR="00A47BB0" w:rsidRPr="00916E20">
        <w:rPr>
          <w:rStyle w:val="ezkurwreuab5ozgtqnkl"/>
        </w:rPr>
        <w:t>/</w:t>
      </w:r>
      <w:r w:rsidR="00A47BB0">
        <w:rPr>
          <w:rStyle w:val="ezkurwreuab5ozgtqnkl"/>
          <w:lang w:val="en-US"/>
        </w:rPr>
        <w:t>Cu</w:t>
      </w:r>
      <w:r>
        <w:rPr>
          <w:rStyle w:val="ezkurwreuab5ozgtqnkl"/>
        </w:rPr>
        <w:t xml:space="preserve">, </w:t>
      </w:r>
      <w:r w:rsidR="00A47BB0">
        <w:rPr>
          <w:rStyle w:val="ezkurwreuab5ozgtqnkl"/>
        </w:rPr>
        <w:t xml:space="preserve">полученного </w:t>
      </w:r>
      <w:r>
        <w:rPr>
          <w:rStyle w:val="ezkurwreuab5ozgtqnkl"/>
        </w:rPr>
        <w:t>из осажденной меди на массивную медную подложку (29 </w:t>
      </w:r>
      <w:r w:rsidR="00A47BB0">
        <w:rPr>
          <w:rStyle w:val="ezkurwreuab5ozgtqnkl"/>
        </w:rPr>
        <w:t>%). К</w:t>
      </w:r>
      <w:r>
        <w:rPr>
          <w:rStyle w:val="ezkurwreuab5ozgtqnkl"/>
        </w:rPr>
        <w:t>атализаторы на графитовой подложке</w:t>
      </w:r>
      <w:r w:rsidRPr="00916E20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Cu</w:t>
      </w:r>
      <w:r w:rsidRPr="00916E20">
        <w:rPr>
          <w:rStyle w:val="ezkurwreuab5ozgtqnkl"/>
        </w:rPr>
        <w:t>/</w:t>
      </w:r>
      <w:r>
        <w:rPr>
          <w:rStyle w:val="ezkurwreuab5ozgtqnkl"/>
          <w:lang w:val="en-US"/>
        </w:rPr>
        <w:t>C</w:t>
      </w:r>
      <w:r w:rsidRPr="00916E20">
        <w:rPr>
          <w:rStyle w:val="ezkurwreuab5ozgtqnkl"/>
        </w:rPr>
        <w:t xml:space="preserve"> </w:t>
      </w:r>
      <w:r>
        <w:rPr>
          <w:rStyle w:val="ezkurwreuab5ozgtqnkl"/>
        </w:rPr>
        <w:t>также достигли близкого значения выхода по току (20-25 %).</w:t>
      </w:r>
      <w:r w:rsidR="00A47BB0">
        <w:rPr>
          <w:rStyle w:val="ezkurwreuab5ozgtqnkl"/>
        </w:rPr>
        <w:t xml:space="preserve"> </w:t>
      </w:r>
      <w:r>
        <w:rPr>
          <w:rStyle w:val="ezkurwreuab5ozgtqnkl"/>
        </w:rPr>
        <w:t xml:space="preserve">В исследовании была показана эффективность осажденных </w:t>
      </w:r>
      <w:proofErr w:type="spellStart"/>
      <w:r>
        <w:rPr>
          <w:rStyle w:val="ezkurwreuab5ozgtqnkl"/>
        </w:rPr>
        <w:t>электрокатализаторов</w:t>
      </w:r>
      <w:proofErr w:type="spellEnd"/>
      <w:r>
        <w:rPr>
          <w:rStyle w:val="ezkurwreuab5ozgtqnkl"/>
        </w:rPr>
        <w:t xml:space="preserve"> и </w:t>
      </w:r>
      <w:r w:rsidR="00A47BB0">
        <w:rPr>
          <w:rStyle w:val="ezkurwreuab5ozgtqnkl"/>
        </w:rPr>
        <w:t>перспективность</w:t>
      </w:r>
      <w:r>
        <w:rPr>
          <w:rStyle w:val="ezkurwreuab5ozgtqnkl"/>
        </w:rPr>
        <w:t xml:space="preserve"> дальнейшего поиска</w:t>
      </w:r>
      <w:r w:rsidR="00A47BB0">
        <w:rPr>
          <w:rStyle w:val="ezkurwreuab5ozgtqnkl"/>
        </w:rPr>
        <w:t xml:space="preserve"> осажденных катализаторов.</w:t>
      </w:r>
    </w:p>
    <w:p w14:paraId="30DC59EF" w14:textId="77777777" w:rsidR="0063346C" w:rsidRDefault="00612CD8" w:rsidP="00202BF0">
      <w:pPr>
        <w:shd w:val="clear" w:color="auto" w:fill="FFFFFF"/>
        <w:ind w:firstLine="397"/>
        <w:jc w:val="center"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pict w14:anchorId="5A9F6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19.5pt;height:89pt;visibility:visible" o:bordertopcolor="white" o:borderleftcolor="white" o:borderbottomcolor="white" o:borderrightcolor="white">
            <v:imagedata r:id="rId6" o:title=""/>
            <w10:bordertop type="single" width="16"/>
            <w10:borderleft type="single" width="16"/>
            <w10:borderbottom type="single" width="16"/>
            <w10:borderright type="single" width="16"/>
          </v:shape>
        </w:pict>
      </w:r>
      <w:r w:rsidR="0063346C" w:rsidRPr="00202BF0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</w:rPr>
        <w:pict w14:anchorId="30D20AAD">
          <v:shape id="Рисунок 4" o:spid="_x0000_i1026" type="#_x0000_t75" style="width:224pt;height:89.5pt;visibility:visible">
            <v:imagedata r:id="rId7" o:title=""/>
          </v:shape>
        </w:pict>
      </w:r>
    </w:p>
    <w:p w14:paraId="1072EE35" w14:textId="77777777" w:rsidR="0063346C" w:rsidRPr="00202BF0" w:rsidRDefault="0063346C" w:rsidP="00202BF0">
      <w:pPr>
        <w:shd w:val="clear" w:color="auto" w:fill="FFFFFF"/>
        <w:ind w:firstLine="397"/>
        <w:jc w:val="center"/>
        <w:rPr>
          <w:color w:val="000000"/>
        </w:rPr>
      </w:pPr>
      <w:r w:rsidRPr="00202BF0">
        <w:t xml:space="preserve">Рис. 1. Морфология осажденной меди в катализаторе </w:t>
      </w:r>
      <w:r w:rsidRPr="00202BF0">
        <w:rPr>
          <w:lang w:val="en-US"/>
        </w:rPr>
        <w:t>Cu</w:t>
      </w:r>
      <w:r w:rsidRPr="00202BF0">
        <w:t>/</w:t>
      </w:r>
      <w:r w:rsidRPr="00202BF0">
        <w:rPr>
          <w:lang w:val="en-US"/>
        </w:rPr>
        <w:t>Cu</w:t>
      </w:r>
      <w:r w:rsidRPr="00202BF0">
        <w:t xml:space="preserve"> и схема нанесения осажденной меди на подложки</w:t>
      </w:r>
    </w:p>
    <w:p w14:paraId="24292C91" w14:textId="774CA927" w:rsidR="0063346C" w:rsidRPr="007766BC" w:rsidRDefault="0063346C" w:rsidP="00A47BB0">
      <w:pPr>
        <w:shd w:val="clear" w:color="auto" w:fill="FFFFFF"/>
        <w:ind w:firstLine="426"/>
        <w:jc w:val="both"/>
        <w:rPr>
          <w:color w:val="000000"/>
        </w:rPr>
      </w:pPr>
      <w:r w:rsidRPr="008C743A">
        <w:rPr>
          <w:i/>
          <w:iCs/>
          <w:color w:val="000000"/>
        </w:rPr>
        <w:t>Работа выполнена при финансовой поддержке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Проекта-</w:t>
      </w:r>
      <w:proofErr w:type="spellStart"/>
      <w:r w:rsidRPr="008C743A">
        <w:rPr>
          <w:i/>
          <w:iCs/>
          <w:color w:val="000000"/>
        </w:rPr>
        <w:t>госзадания</w:t>
      </w:r>
      <w:proofErr w:type="spellEnd"/>
      <w:r w:rsidRPr="008C743A">
        <w:rPr>
          <w:i/>
          <w:iCs/>
          <w:color w:val="000000"/>
        </w:rPr>
        <w:t xml:space="preserve"> №. AAAAA-A21-</w:t>
      </w:r>
      <w:r w:rsidR="007766BC" w:rsidRPr="00612CD8">
        <w:rPr>
          <w:i/>
          <w:iCs/>
          <w:color w:val="000000"/>
        </w:rPr>
        <w:t>122040600057-3</w:t>
      </w:r>
      <w:r w:rsidRPr="008C743A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Авторы выражают признательность Программе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развития Московского государственного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университета имени М.В. Ломоносова за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измерения,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 xml:space="preserve">проведенные на </w:t>
      </w:r>
      <w:proofErr w:type="spellStart"/>
      <w:r w:rsidRPr="008C743A">
        <w:rPr>
          <w:i/>
          <w:iCs/>
          <w:color w:val="000000"/>
        </w:rPr>
        <w:t>потенциостате-гальваностате</w:t>
      </w:r>
      <w:proofErr w:type="spellEnd"/>
      <w:r w:rsidRPr="008C743A">
        <w:rPr>
          <w:i/>
          <w:iCs/>
          <w:color w:val="000000"/>
        </w:rPr>
        <w:t xml:space="preserve"> PS-20 c модулем измерения электрохимического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сопротивления (EIS) FRA (</w:t>
      </w:r>
      <w:proofErr w:type="spellStart"/>
      <w:r w:rsidRPr="008C743A">
        <w:rPr>
          <w:i/>
          <w:iCs/>
          <w:color w:val="000000"/>
        </w:rPr>
        <w:t>SmartStat</w:t>
      </w:r>
      <w:proofErr w:type="spellEnd"/>
      <w:r w:rsidRPr="008C743A">
        <w:rPr>
          <w:i/>
          <w:iCs/>
          <w:color w:val="000000"/>
        </w:rPr>
        <w:t>, Черноголовка,</w:t>
      </w:r>
      <w:r>
        <w:rPr>
          <w:i/>
          <w:iCs/>
          <w:color w:val="000000"/>
        </w:rPr>
        <w:t xml:space="preserve"> </w:t>
      </w:r>
      <w:r w:rsidRPr="008C743A">
        <w:rPr>
          <w:i/>
          <w:iCs/>
          <w:color w:val="000000"/>
        </w:rPr>
        <w:t>Россия).</w:t>
      </w:r>
    </w:p>
    <w:sectPr w:rsidR="0063346C" w:rsidRPr="007766BC" w:rsidSect="004B37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F12FB6"/>
    <w:multiLevelType w:val="hybridMultilevel"/>
    <w:tmpl w:val="EBE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1FE7CD9"/>
    <w:multiLevelType w:val="hybridMultilevel"/>
    <w:tmpl w:val="C6F2EE92"/>
    <w:lvl w:ilvl="0" w:tplc="0D1E8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1286597">
    <w:abstractNumId w:val="3"/>
  </w:num>
  <w:num w:numId="2" w16cid:durableId="514729075">
    <w:abstractNumId w:val="5"/>
  </w:num>
  <w:num w:numId="3" w16cid:durableId="307170725">
    <w:abstractNumId w:val="1"/>
  </w:num>
  <w:num w:numId="4" w16cid:durableId="2025008318">
    <w:abstractNumId w:val="0"/>
  </w:num>
  <w:num w:numId="5" w16cid:durableId="2116172229">
    <w:abstractNumId w:val="2"/>
  </w:num>
  <w:num w:numId="6" w16cid:durableId="134833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4C94"/>
    <w:rsid w:val="00106375"/>
    <w:rsid w:val="00107AA3"/>
    <w:rsid w:val="00116478"/>
    <w:rsid w:val="00130241"/>
    <w:rsid w:val="001E61C2"/>
    <w:rsid w:val="001F0493"/>
    <w:rsid w:val="00202BF0"/>
    <w:rsid w:val="0022260A"/>
    <w:rsid w:val="002264EE"/>
    <w:rsid w:val="0023307C"/>
    <w:rsid w:val="00291133"/>
    <w:rsid w:val="0031361E"/>
    <w:rsid w:val="00354BE6"/>
    <w:rsid w:val="00370308"/>
    <w:rsid w:val="00391C38"/>
    <w:rsid w:val="003A51FF"/>
    <w:rsid w:val="003B76D6"/>
    <w:rsid w:val="003D2946"/>
    <w:rsid w:val="003E2601"/>
    <w:rsid w:val="003F4E6B"/>
    <w:rsid w:val="004340BE"/>
    <w:rsid w:val="004A26A3"/>
    <w:rsid w:val="004B37EC"/>
    <w:rsid w:val="004F0EDF"/>
    <w:rsid w:val="00522BF1"/>
    <w:rsid w:val="00590166"/>
    <w:rsid w:val="005C39FE"/>
    <w:rsid w:val="005D022B"/>
    <w:rsid w:val="005D5659"/>
    <w:rsid w:val="005E5BE9"/>
    <w:rsid w:val="00612CD8"/>
    <w:rsid w:val="0063346C"/>
    <w:rsid w:val="0069427D"/>
    <w:rsid w:val="00696FC4"/>
    <w:rsid w:val="006E5F28"/>
    <w:rsid w:val="006F7A19"/>
    <w:rsid w:val="00707CE1"/>
    <w:rsid w:val="007213E1"/>
    <w:rsid w:val="00755123"/>
    <w:rsid w:val="00775389"/>
    <w:rsid w:val="007766BC"/>
    <w:rsid w:val="00797838"/>
    <w:rsid w:val="007C36D8"/>
    <w:rsid w:val="007F2744"/>
    <w:rsid w:val="008931BE"/>
    <w:rsid w:val="008C67E3"/>
    <w:rsid w:val="008C743A"/>
    <w:rsid w:val="00914205"/>
    <w:rsid w:val="00916E20"/>
    <w:rsid w:val="00921D45"/>
    <w:rsid w:val="009426C0"/>
    <w:rsid w:val="0098039D"/>
    <w:rsid w:val="00980A65"/>
    <w:rsid w:val="009A66DB"/>
    <w:rsid w:val="009B2F80"/>
    <w:rsid w:val="009B3300"/>
    <w:rsid w:val="009F3380"/>
    <w:rsid w:val="00A02163"/>
    <w:rsid w:val="00A314FE"/>
    <w:rsid w:val="00A47BB0"/>
    <w:rsid w:val="00A84942"/>
    <w:rsid w:val="00AD7380"/>
    <w:rsid w:val="00AF3B24"/>
    <w:rsid w:val="00B60AB3"/>
    <w:rsid w:val="00BA0B82"/>
    <w:rsid w:val="00BF36F8"/>
    <w:rsid w:val="00BF4622"/>
    <w:rsid w:val="00C844E2"/>
    <w:rsid w:val="00CC62AC"/>
    <w:rsid w:val="00CD00B1"/>
    <w:rsid w:val="00D22306"/>
    <w:rsid w:val="00D42542"/>
    <w:rsid w:val="00D4402A"/>
    <w:rsid w:val="00D8121C"/>
    <w:rsid w:val="00E22189"/>
    <w:rsid w:val="00E3479A"/>
    <w:rsid w:val="00E74069"/>
    <w:rsid w:val="00E81D35"/>
    <w:rsid w:val="00E9497B"/>
    <w:rsid w:val="00EB1F49"/>
    <w:rsid w:val="00F10CF1"/>
    <w:rsid w:val="00F41223"/>
    <w:rsid w:val="00F443EF"/>
    <w:rsid w:val="00F865B3"/>
    <w:rsid w:val="00FB1509"/>
    <w:rsid w:val="00FB446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A1D786"/>
  <w15:docId w15:val="{46999697-698F-4657-85F6-F1A4E9F2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7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B37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B37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37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4B37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B37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35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E35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E35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E3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E3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E35DC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4B3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B37E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8E35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B37EC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8E35DC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uiPriority w:val="99"/>
    <w:rsid w:val="004340B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E5F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35DC"/>
    <w:rPr>
      <w:rFonts w:ascii="Times New Roman" w:eastAsia="Times New Roman" w:hAnsi="Times New Roman" w:cs="Times New Roman"/>
      <w:sz w:val="0"/>
      <w:szCs w:val="0"/>
    </w:rPr>
  </w:style>
  <w:style w:type="character" w:styleId="af">
    <w:name w:val="annotation reference"/>
    <w:uiPriority w:val="99"/>
    <w:semiHidden/>
    <w:rsid w:val="006E5F2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6E5F28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E35D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E5F2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E35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topics/chemistry/ambient-reaction-tempera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Иван Chernoukhov</cp:lastModifiedBy>
  <cp:revision>22</cp:revision>
  <dcterms:created xsi:type="dcterms:W3CDTF">2024-12-16T00:35:00Z</dcterms:created>
  <dcterms:modified xsi:type="dcterms:W3CDTF">2025-03-20T09:16:00Z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