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5FDC" w14:textId="193D4494" w:rsidR="00C71C54" w:rsidRPr="009C22F7" w:rsidRDefault="00C71C54" w:rsidP="0076687F">
      <w:pPr>
        <w:spacing w:line="240" w:lineRule="auto"/>
        <w:ind w:firstLine="567"/>
        <w:jc w:val="center"/>
        <w:rPr>
          <w:rFonts w:ascii="Times New Roman" w:hAnsi="Times New Roman" w:cs="Times New Roman"/>
          <w:b/>
          <w:bCs/>
          <w:sz w:val="24"/>
          <w:szCs w:val="24"/>
          <w:lang w:bidi="hi-IN"/>
        </w:rPr>
      </w:pPr>
      <w:r w:rsidRPr="009C22F7">
        <w:rPr>
          <w:rFonts w:ascii="Times New Roman" w:hAnsi="Times New Roman" w:cs="Times New Roman"/>
          <w:b/>
          <w:bCs/>
          <w:sz w:val="24"/>
          <w:szCs w:val="24"/>
          <w:lang w:bidi="hi-IN"/>
        </w:rPr>
        <w:t xml:space="preserve">Функциональные особенности деепричастий в агглютинативных языках </w:t>
      </w:r>
      <w:r w:rsidR="0076687F">
        <w:rPr>
          <w:rFonts w:ascii="Times New Roman" w:hAnsi="Times New Roman" w:cs="Times New Roman"/>
          <w:b/>
          <w:bCs/>
          <w:sz w:val="24"/>
          <w:szCs w:val="24"/>
          <w:lang w:bidi="hi-IN"/>
        </w:rPr>
        <w:br/>
      </w:r>
      <w:r w:rsidRPr="009C22F7">
        <w:rPr>
          <w:rFonts w:ascii="Times New Roman" w:hAnsi="Times New Roman" w:cs="Times New Roman"/>
          <w:b/>
          <w:bCs/>
          <w:sz w:val="24"/>
          <w:szCs w:val="24"/>
          <w:lang w:bidi="hi-IN"/>
        </w:rPr>
        <w:t>(на материале якутского и телугу языков)</w:t>
      </w:r>
    </w:p>
    <w:p w14:paraId="58BC3503" w14:textId="6D20A218" w:rsidR="005C789C" w:rsidRPr="007B669B" w:rsidRDefault="00C71C54" w:rsidP="00912724">
      <w:pPr>
        <w:spacing w:line="240" w:lineRule="auto"/>
        <w:ind w:firstLine="567"/>
        <w:jc w:val="both"/>
        <w:rPr>
          <w:rFonts w:ascii="Times New Roman" w:hAnsi="Times New Roman" w:cs="Times New Roman"/>
          <w:sz w:val="24"/>
          <w:szCs w:val="24"/>
          <w:lang w:bidi="hi-IN"/>
        </w:rPr>
      </w:pPr>
      <w:r w:rsidRPr="007B669B">
        <w:rPr>
          <w:rFonts w:ascii="Times New Roman" w:hAnsi="Times New Roman" w:cs="Times New Roman"/>
          <w:sz w:val="24"/>
          <w:szCs w:val="24"/>
          <w:lang w:bidi="hi-IN"/>
        </w:rPr>
        <w:t xml:space="preserve">В данной работе рассматриваются особенности функционирования деепричастий в агглютинативных языках на примере языка телугу в сравнении с типологически схожим якутским языком. Цель данной работы – выяснить, обнаруживают ли деепричастия в языке телугу те же функциональные особенности, что и деепричастия в якутском языке. </w:t>
      </w:r>
      <w:r w:rsidR="005A3ACD" w:rsidRPr="007B669B">
        <w:rPr>
          <w:rFonts w:ascii="Times New Roman" w:hAnsi="Times New Roman" w:cs="Times New Roman"/>
          <w:sz w:val="24"/>
          <w:szCs w:val="24"/>
          <w:lang w:bidi="hi-IN"/>
        </w:rPr>
        <w:t xml:space="preserve">К этой цели ведут следующие задачи: поиск, обработка и систематизация примеров, подтверждающих либо опровергающих наличие в языке телугу функциональных особенностей деепричастий, которые есть в якутском языке. </w:t>
      </w:r>
      <w:r w:rsidRPr="007B669B">
        <w:rPr>
          <w:rFonts w:ascii="Times New Roman" w:hAnsi="Times New Roman" w:cs="Times New Roman"/>
          <w:sz w:val="24"/>
          <w:szCs w:val="24"/>
          <w:lang w:bidi="hi-IN"/>
        </w:rPr>
        <w:t xml:space="preserve">В качестве основы для сравнения взята статья Н. А. Матушкиной «К вопросу о функциональных особенностях тюркских деепричастий (на материале якутского языка)». </w:t>
      </w:r>
      <w:r w:rsidR="00CF4E69" w:rsidRPr="007B669B">
        <w:rPr>
          <w:rFonts w:ascii="Times New Roman" w:hAnsi="Times New Roman" w:cs="Times New Roman"/>
          <w:sz w:val="24"/>
          <w:szCs w:val="24"/>
          <w:lang w:bidi="hi-IN"/>
        </w:rPr>
        <w:t>В качестве источников примеров на телугу были взяты газетные текст</w:t>
      </w:r>
      <w:r w:rsidR="005C789C" w:rsidRPr="007B669B">
        <w:rPr>
          <w:rFonts w:ascii="Times New Roman" w:hAnsi="Times New Roman" w:cs="Times New Roman"/>
          <w:sz w:val="24"/>
          <w:szCs w:val="24"/>
          <w:lang w:bidi="hi-IN"/>
        </w:rPr>
        <w:t xml:space="preserve">ы и художественная литература. </w:t>
      </w:r>
    </w:p>
    <w:p w14:paraId="44743EA8" w14:textId="27E2EA87" w:rsidR="00C71C54" w:rsidRPr="007B669B" w:rsidRDefault="005C789C" w:rsidP="00912724">
      <w:pPr>
        <w:spacing w:line="240" w:lineRule="auto"/>
        <w:ind w:firstLine="567"/>
        <w:jc w:val="both"/>
        <w:rPr>
          <w:rFonts w:ascii="Times New Roman" w:hAnsi="Times New Roman" w:cs="Times New Roman"/>
          <w:sz w:val="24"/>
          <w:szCs w:val="24"/>
          <w:lang w:bidi="hi-IN"/>
        </w:rPr>
      </w:pPr>
      <w:r w:rsidRPr="007B669B">
        <w:rPr>
          <w:rFonts w:ascii="Times New Roman" w:hAnsi="Times New Roman" w:cs="Times New Roman"/>
          <w:sz w:val="24"/>
          <w:szCs w:val="24"/>
          <w:lang w:bidi="hi-IN"/>
        </w:rPr>
        <w:t xml:space="preserve">Данное исследование основано на функционально-типологическим подходе, который </w:t>
      </w:r>
      <w:r w:rsidR="005A3ACD" w:rsidRPr="007B669B">
        <w:rPr>
          <w:rFonts w:ascii="Times New Roman" w:hAnsi="Times New Roman" w:cs="Times New Roman"/>
          <w:sz w:val="24"/>
          <w:szCs w:val="24"/>
          <w:lang w:bidi="hi-IN"/>
        </w:rPr>
        <w:t>приходит на помощь при анализе грамматики малоизученных языков. Для грамматики языка телугу до сих пор не выработан единый понятийно-терминологический аппарат, разные исследователи используют разную терминологию</w:t>
      </w:r>
      <w:r w:rsidR="00B811AE" w:rsidRPr="007B669B">
        <w:rPr>
          <w:rFonts w:ascii="Times New Roman" w:hAnsi="Times New Roman" w:cs="Times New Roman"/>
          <w:sz w:val="24"/>
          <w:szCs w:val="24"/>
          <w:lang w:bidi="hi-IN"/>
        </w:rPr>
        <w:t xml:space="preserve"> и чаще занимаются компаративистскими исследованиями и историческим развитием языка телугу, чем глубоким анализом грамматики. В данной работе впервые предпринимается попытка сравнить функционирование деепричастий в языке телугу и в якутском языке и выявить их функциональные особенности, характерные для всех агглютинативных языков.</w:t>
      </w:r>
    </w:p>
    <w:p w14:paraId="78246E22" w14:textId="45B53F33" w:rsidR="00A4524F" w:rsidRPr="007B669B" w:rsidRDefault="003E03AD" w:rsidP="00912724">
      <w:pPr>
        <w:spacing w:line="240" w:lineRule="auto"/>
        <w:ind w:firstLine="567"/>
        <w:jc w:val="both"/>
        <w:rPr>
          <w:rFonts w:ascii="Times New Roman" w:hAnsi="Times New Roman" w:cs="Times New Roman"/>
          <w:sz w:val="24"/>
          <w:szCs w:val="24"/>
          <w:lang w:bidi="hi-IN"/>
        </w:rPr>
      </w:pPr>
      <w:r w:rsidRPr="007B669B">
        <w:rPr>
          <w:rFonts w:ascii="Times New Roman" w:hAnsi="Times New Roman" w:cs="Times New Roman"/>
          <w:sz w:val="24"/>
          <w:szCs w:val="24"/>
          <w:lang w:bidi="hi-IN"/>
        </w:rPr>
        <w:t>Историография данного вопроса включает исследования петербургских тюркологов, которые выработали понятийно-терминологический аппарат для исследования агглютинативных языков и выявили</w:t>
      </w:r>
      <w:r w:rsidR="005E242F" w:rsidRPr="007B669B">
        <w:rPr>
          <w:rFonts w:ascii="Times New Roman" w:hAnsi="Times New Roman" w:cs="Times New Roman"/>
          <w:sz w:val="24"/>
          <w:szCs w:val="24"/>
          <w:lang w:bidi="hi-IN"/>
        </w:rPr>
        <w:t xml:space="preserve"> характерные черты, свойственные большинству языков агглютинативного типа. </w:t>
      </w:r>
      <w:r w:rsidRPr="007B669B">
        <w:rPr>
          <w:rFonts w:ascii="Times New Roman" w:hAnsi="Times New Roman" w:cs="Times New Roman"/>
          <w:sz w:val="24"/>
          <w:szCs w:val="24"/>
          <w:lang w:bidi="hi-IN"/>
        </w:rPr>
        <w:t xml:space="preserve">В. Г. </w:t>
      </w:r>
      <w:proofErr w:type="spellStart"/>
      <w:r w:rsidRPr="007B669B">
        <w:rPr>
          <w:rFonts w:ascii="Times New Roman" w:hAnsi="Times New Roman" w:cs="Times New Roman"/>
          <w:sz w:val="24"/>
          <w:szCs w:val="24"/>
          <w:lang w:bidi="hi-IN"/>
        </w:rPr>
        <w:t>Гузев</w:t>
      </w:r>
      <w:proofErr w:type="spellEnd"/>
      <w:r w:rsidRPr="007B669B">
        <w:rPr>
          <w:rFonts w:ascii="Times New Roman" w:hAnsi="Times New Roman" w:cs="Times New Roman"/>
          <w:sz w:val="24"/>
          <w:szCs w:val="24"/>
          <w:lang w:bidi="hi-IN"/>
        </w:rPr>
        <w:t xml:space="preserve"> и А.</w:t>
      </w:r>
      <w:r w:rsidR="00A4524F" w:rsidRPr="007B669B">
        <w:rPr>
          <w:rFonts w:ascii="Times New Roman" w:hAnsi="Times New Roman" w:cs="Times New Roman"/>
          <w:sz w:val="24"/>
          <w:szCs w:val="24"/>
          <w:lang w:bidi="hi-IN"/>
        </w:rPr>
        <w:t> </w:t>
      </w:r>
      <w:r w:rsidRPr="007B669B">
        <w:rPr>
          <w:rFonts w:ascii="Times New Roman" w:hAnsi="Times New Roman" w:cs="Times New Roman"/>
          <w:sz w:val="24"/>
          <w:szCs w:val="24"/>
          <w:lang w:bidi="hi-IN"/>
        </w:rPr>
        <w:t>А.</w:t>
      </w:r>
      <w:r w:rsidR="00A4524F" w:rsidRPr="007B669B">
        <w:rPr>
          <w:rFonts w:ascii="Times New Roman" w:hAnsi="Times New Roman" w:cs="Times New Roman"/>
          <w:sz w:val="24"/>
          <w:szCs w:val="24"/>
          <w:lang w:bidi="hi-IN"/>
        </w:rPr>
        <w:t> </w:t>
      </w:r>
      <w:proofErr w:type="spellStart"/>
      <w:r w:rsidRPr="007B669B">
        <w:rPr>
          <w:rFonts w:ascii="Times New Roman" w:hAnsi="Times New Roman" w:cs="Times New Roman"/>
          <w:sz w:val="24"/>
          <w:szCs w:val="24"/>
          <w:lang w:bidi="hi-IN"/>
        </w:rPr>
        <w:t>Бурыкин</w:t>
      </w:r>
      <w:proofErr w:type="spellEnd"/>
      <w:r w:rsidRPr="007B669B">
        <w:rPr>
          <w:rFonts w:ascii="Times New Roman" w:hAnsi="Times New Roman" w:cs="Times New Roman"/>
          <w:sz w:val="24"/>
          <w:szCs w:val="24"/>
          <w:lang w:bidi="hi-IN"/>
        </w:rPr>
        <w:t xml:space="preserve"> в статье «Общие строевые особенности агглютинативных языков»</w:t>
      </w:r>
      <w:r w:rsidR="005E242F" w:rsidRPr="007B669B">
        <w:rPr>
          <w:rFonts w:ascii="Times New Roman" w:hAnsi="Times New Roman" w:cs="Times New Roman"/>
          <w:sz w:val="24"/>
          <w:szCs w:val="24"/>
          <w:lang w:bidi="hi-IN"/>
        </w:rPr>
        <w:t xml:space="preserve"> называют следующие особенности: порядок слов, в котором уточнение предшествует уточняемому, отсутствие согласования между компонентами атрибутивных конструкций, наличие особых субстантивных определительных сочетаний (изафетов),</w:t>
      </w:r>
      <w:r w:rsidR="00A4524F" w:rsidRPr="007B669B">
        <w:rPr>
          <w:rFonts w:ascii="Times New Roman" w:hAnsi="Times New Roman" w:cs="Times New Roman"/>
          <w:sz w:val="24"/>
          <w:szCs w:val="24"/>
          <w:lang w:bidi="hi-IN"/>
        </w:rPr>
        <w:t xml:space="preserve"> </w:t>
      </w:r>
      <w:r w:rsidR="005E242F" w:rsidRPr="007B669B">
        <w:rPr>
          <w:rFonts w:ascii="Times New Roman" w:hAnsi="Times New Roman" w:cs="Times New Roman"/>
          <w:sz w:val="24"/>
          <w:szCs w:val="24"/>
          <w:lang w:bidi="hi-IN"/>
        </w:rPr>
        <w:t>широкое использование синтаксических конструкций, вводимых глагольн</w:t>
      </w:r>
      <w:r w:rsidR="00A4524F" w:rsidRPr="007B669B">
        <w:rPr>
          <w:rFonts w:ascii="Times New Roman" w:hAnsi="Times New Roman" w:cs="Times New Roman"/>
          <w:sz w:val="24"/>
          <w:szCs w:val="24"/>
          <w:lang w:bidi="hi-IN"/>
        </w:rPr>
        <w:t xml:space="preserve">о-именными формами, а также использование глагольных именных форм с обстоятельственным значением для построения обстоятельственных придаточных. </w:t>
      </w:r>
      <w:r w:rsidR="00722173" w:rsidRPr="007B669B">
        <w:rPr>
          <w:rFonts w:ascii="Times New Roman" w:hAnsi="Times New Roman" w:cs="Times New Roman"/>
          <w:sz w:val="24"/>
          <w:szCs w:val="24"/>
          <w:lang w:bidi="hi-IN"/>
        </w:rPr>
        <w:t>Все э</w:t>
      </w:r>
      <w:r w:rsidR="00A4524F" w:rsidRPr="007B669B">
        <w:rPr>
          <w:rFonts w:ascii="Times New Roman" w:hAnsi="Times New Roman" w:cs="Times New Roman"/>
          <w:sz w:val="24"/>
          <w:szCs w:val="24"/>
          <w:lang w:bidi="hi-IN"/>
        </w:rPr>
        <w:t xml:space="preserve">ти особенности можно проследить в </w:t>
      </w:r>
      <w:r w:rsidR="00722173" w:rsidRPr="007B669B">
        <w:rPr>
          <w:rFonts w:ascii="Times New Roman" w:hAnsi="Times New Roman" w:cs="Times New Roman"/>
          <w:sz w:val="24"/>
          <w:szCs w:val="24"/>
          <w:lang w:bidi="hi-IN"/>
        </w:rPr>
        <w:t>большей или меньшей степени во всех имеющихся агглютинативных языках, в том числе</w:t>
      </w:r>
      <w:r w:rsidR="00912724">
        <w:rPr>
          <w:rFonts w:ascii="Times New Roman" w:hAnsi="Times New Roman" w:cs="Times New Roman"/>
          <w:sz w:val="24"/>
          <w:szCs w:val="24"/>
          <w:lang w:bidi="hi-IN"/>
        </w:rPr>
        <w:t xml:space="preserve"> в</w:t>
      </w:r>
      <w:r w:rsidR="00722173" w:rsidRPr="007B669B">
        <w:rPr>
          <w:rFonts w:ascii="Times New Roman" w:hAnsi="Times New Roman" w:cs="Times New Roman"/>
          <w:sz w:val="24"/>
          <w:szCs w:val="24"/>
          <w:lang w:bidi="hi-IN"/>
        </w:rPr>
        <w:t xml:space="preserve"> якутском и телугу.</w:t>
      </w:r>
    </w:p>
    <w:p w14:paraId="7AA719BF" w14:textId="1D28C0D0" w:rsidR="00722173" w:rsidRPr="007B669B" w:rsidRDefault="00A4524F" w:rsidP="00912724">
      <w:pPr>
        <w:spacing w:line="240" w:lineRule="auto"/>
        <w:ind w:firstLine="567"/>
        <w:jc w:val="both"/>
        <w:rPr>
          <w:rFonts w:ascii="Times New Roman" w:hAnsi="Times New Roman" w:cs="Times New Roman"/>
          <w:sz w:val="24"/>
          <w:szCs w:val="24"/>
        </w:rPr>
      </w:pPr>
      <w:r w:rsidRPr="007B669B">
        <w:rPr>
          <w:rFonts w:ascii="Times New Roman" w:hAnsi="Times New Roman" w:cs="Times New Roman"/>
          <w:sz w:val="24"/>
          <w:szCs w:val="24"/>
          <w:lang w:bidi="hi-IN"/>
        </w:rPr>
        <w:t xml:space="preserve">Н. А. Матушкина </w:t>
      </w:r>
      <w:r w:rsidR="00722173" w:rsidRPr="007B669B">
        <w:rPr>
          <w:rFonts w:ascii="Times New Roman" w:hAnsi="Times New Roman" w:cs="Times New Roman"/>
          <w:sz w:val="24"/>
          <w:szCs w:val="24"/>
          <w:lang w:bidi="hi-IN"/>
        </w:rPr>
        <w:t>исследует тюркские деепричастия на основе трудов В. Г. </w:t>
      </w:r>
      <w:proofErr w:type="spellStart"/>
      <w:r w:rsidR="00722173" w:rsidRPr="007B669B">
        <w:rPr>
          <w:rFonts w:ascii="Times New Roman" w:hAnsi="Times New Roman" w:cs="Times New Roman"/>
          <w:sz w:val="24"/>
          <w:szCs w:val="24"/>
          <w:lang w:bidi="hi-IN"/>
        </w:rPr>
        <w:t>Гузева</w:t>
      </w:r>
      <w:proofErr w:type="spellEnd"/>
      <w:r w:rsidR="00722173" w:rsidRPr="007B669B">
        <w:rPr>
          <w:rFonts w:ascii="Times New Roman" w:hAnsi="Times New Roman" w:cs="Times New Roman"/>
          <w:sz w:val="24"/>
          <w:szCs w:val="24"/>
          <w:lang w:bidi="hi-IN"/>
        </w:rPr>
        <w:t xml:space="preserve"> и А. А. </w:t>
      </w:r>
      <w:proofErr w:type="spellStart"/>
      <w:r w:rsidR="00722173" w:rsidRPr="007B669B">
        <w:rPr>
          <w:rFonts w:ascii="Times New Roman" w:hAnsi="Times New Roman" w:cs="Times New Roman"/>
          <w:sz w:val="24"/>
          <w:szCs w:val="24"/>
          <w:lang w:bidi="hi-IN"/>
        </w:rPr>
        <w:t>Бурыкина</w:t>
      </w:r>
      <w:proofErr w:type="spellEnd"/>
      <w:r w:rsidR="00722173" w:rsidRPr="007B669B">
        <w:rPr>
          <w:rFonts w:ascii="Times New Roman" w:hAnsi="Times New Roman" w:cs="Times New Roman"/>
          <w:sz w:val="24"/>
          <w:szCs w:val="24"/>
          <w:lang w:bidi="hi-IN"/>
        </w:rPr>
        <w:t xml:space="preserve"> и выявляет функциональные особенности деепричастий</w:t>
      </w:r>
      <w:r w:rsidR="00B811AE" w:rsidRPr="007B669B">
        <w:rPr>
          <w:rFonts w:ascii="Times New Roman" w:hAnsi="Times New Roman" w:cs="Times New Roman"/>
          <w:sz w:val="24"/>
          <w:szCs w:val="24"/>
          <w:lang w:bidi="hi-IN"/>
        </w:rPr>
        <w:t xml:space="preserve"> в якутском языке</w:t>
      </w:r>
      <w:r w:rsidR="00722173" w:rsidRPr="007B669B">
        <w:rPr>
          <w:rFonts w:ascii="Times New Roman" w:hAnsi="Times New Roman" w:cs="Times New Roman"/>
          <w:sz w:val="24"/>
          <w:szCs w:val="24"/>
          <w:lang w:bidi="hi-IN"/>
        </w:rPr>
        <w:t>, которые могут быть обнаружены и в других агглютинативных языках, в том числе в телугу</w:t>
      </w:r>
      <w:r w:rsidR="00912724">
        <w:rPr>
          <w:rFonts w:ascii="Times New Roman" w:hAnsi="Times New Roman" w:cs="Times New Roman"/>
          <w:sz w:val="24"/>
          <w:szCs w:val="24"/>
          <w:lang w:bidi="hi-IN"/>
        </w:rPr>
        <w:t>.</w:t>
      </w:r>
      <w:r w:rsidR="00B811AE" w:rsidRPr="007B669B">
        <w:rPr>
          <w:rFonts w:ascii="Times New Roman" w:hAnsi="Times New Roman" w:cs="Times New Roman"/>
          <w:sz w:val="24"/>
          <w:szCs w:val="24"/>
        </w:rPr>
        <w:t xml:space="preserve"> </w:t>
      </w:r>
      <w:r w:rsidR="00722173" w:rsidRPr="007B669B">
        <w:rPr>
          <w:rFonts w:ascii="Times New Roman" w:hAnsi="Times New Roman" w:cs="Times New Roman"/>
          <w:sz w:val="24"/>
          <w:szCs w:val="24"/>
          <w:lang w:bidi="hi-IN"/>
        </w:rPr>
        <w:t>Н. А. Матушкина</w:t>
      </w:r>
      <w:r w:rsidR="00912724">
        <w:rPr>
          <w:rFonts w:ascii="Times New Roman" w:hAnsi="Times New Roman" w:cs="Times New Roman"/>
          <w:sz w:val="24"/>
          <w:szCs w:val="24"/>
          <w:lang w:bidi="hi-IN"/>
        </w:rPr>
        <w:t xml:space="preserve"> также</w:t>
      </w:r>
      <w:r w:rsidR="00722173" w:rsidRPr="007B669B">
        <w:rPr>
          <w:rFonts w:ascii="Times New Roman" w:hAnsi="Times New Roman" w:cs="Times New Roman"/>
          <w:sz w:val="24"/>
          <w:szCs w:val="24"/>
          <w:lang w:bidi="hi-IN"/>
        </w:rPr>
        <w:t xml:space="preserve"> перечисляет общие функциональные особенности тюркских деепричастий</w:t>
      </w:r>
      <w:r w:rsidR="005F0439">
        <w:rPr>
          <w:rFonts w:ascii="Times New Roman" w:hAnsi="Times New Roman" w:cs="Times New Roman"/>
          <w:sz w:val="24"/>
          <w:szCs w:val="24"/>
          <w:lang w:bidi="hi-IN"/>
        </w:rPr>
        <w:t>, которые свойственны якутскому языку</w:t>
      </w:r>
      <w:r w:rsidR="00722173" w:rsidRPr="007B669B">
        <w:rPr>
          <w:rFonts w:ascii="Times New Roman" w:hAnsi="Times New Roman" w:cs="Times New Roman"/>
          <w:sz w:val="24"/>
          <w:szCs w:val="24"/>
          <w:lang w:bidi="hi-IN"/>
        </w:rPr>
        <w:t>. Из них стоит привести четыре особенности, которые присущи и деепричастиям телугу:</w:t>
      </w:r>
    </w:p>
    <w:p w14:paraId="7793AFCA" w14:textId="77777777" w:rsidR="00722173" w:rsidRPr="007B669B" w:rsidRDefault="00722173" w:rsidP="003225CB">
      <w:pPr>
        <w:pStyle w:val="a3"/>
        <w:numPr>
          <w:ilvl w:val="0"/>
          <w:numId w:val="1"/>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Деепричастия могут иметь отдельный субъект, не совпадающий с субъектом уточняемого действия</w:t>
      </w:r>
    </w:p>
    <w:p w14:paraId="77CBDEE0" w14:textId="2C8495C3" w:rsidR="00722173" w:rsidRPr="007B669B" w:rsidRDefault="00722173" w:rsidP="003225CB">
      <w:pPr>
        <w:pStyle w:val="a3"/>
        <w:numPr>
          <w:ilvl w:val="0"/>
          <w:numId w:val="1"/>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 xml:space="preserve">Деепричастные формы входят в состав аналитических образований с </w:t>
      </w:r>
      <w:proofErr w:type="spellStart"/>
      <w:r w:rsidRPr="007B669B">
        <w:rPr>
          <w:rFonts w:ascii="Times New Roman" w:hAnsi="Times New Roman" w:cs="Times New Roman"/>
          <w:sz w:val="24"/>
          <w:szCs w:val="24"/>
        </w:rPr>
        <w:t>акционсартивными</w:t>
      </w:r>
      <w:proofErr w:type="spellEnd"/>
      <w:r w:rsidRPr="007B669B">
        <w:rPr>
          <w:rFonts w:ascii="Times New Roman" w:hAnsi="Times New Roman" w:cs="Times New Roman"/>
          <w:sz w:val="24"/>
          <w:szCs w:val="24"/>
        </w:rPr>
        <w:t xml:space="preserve"> обозначениями</w:t>
      </w:r>
      <w:r w:rsidR="00EE68EA" w:rsidRPr="007B669B">
        <w:rPr>
          <w:rFonts w:ascii="Times New Roman" w:hAnsi="Times New Roman" w:cs="Times New Roman"/>
          <w:sz w:val="24"/>
          <w:szCs w:val="24"/>
        </w:rPr>
        <w:t xml:space="preserve"> со значением </w:t>
      </w:r>
      <w:r w:rsidRPr="007B669B">
        <w:rPr>
          <w:rFonts w:ascii="Times New Roman" w:hAnsi="Times New Roman" w:cs="Times New Roman"/>
          <w:sz w:val="24"/>
          <w:szCs w:val="24"/>
        </w:rPr>
        <w:t>многократност</w:t>
      </w:r>
      <w:r w:rsidR="00EE68EA" w:rsidRPr="007B669B">
        <w:rPr>
          <w:rFonts w:ascii="Times New Roman" w:hAnsi="Times New Roman" w:cs="Times New Roman"/>
          <w:sz w:val="24"/>
          <w:szCs w:val="24"/>
        </w:rPr>
        <w:t xml:space="preserve">и, </w:t>
      </w:r>
      <w:r w:rsidRPr="007B669B">
        <w:rPr>
          <w:rFonts w:ascii="Times New Roman" w:hAnsi="Times New Roman" w:cs="Times New Roman"/>
          <w:sz w:val="24"/>
          <w:szCs w:val="24"/>
        </w:rPr>
        <w:t>динамичност</w:t>
      </w:r>
      <w:r w:rsidR="00EE68EA" w:rsidRPr="007B669B">
        <w:rPr>
          <w:rFonts w:ascii="Times New Roman" w:hAnsi="Times New Roman" w:cs="Times New Roman"/>
          <w:sz w:val="24"/>
          <w:szCs w:val="24"/>
        </w:rPr>
        <w:t>и и т. д.</w:t>
      </w:r>
    </w:p>
    <w:p w14:paraId="63323960" w14:textId="77777777" w:rsidR="00722173" w:rsidRPr="007B669B" w:rsidRDefault="00722173" w:rsidP="003225CB">
      <w:pPr>
        <w:pStyle w:val="a3"/>
        <w:numPr>
          <w:ilvl w:val="0"/>
          <w:numId w:val="1"/>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Деепричастие в удвоенном виде – образ действия: многократность, повторяемость, продолжительность, интенсивность</w:t>
      </w:r>
    </w:p>
    <w:p w14:paraId="18CFF769" w14:textId="77777777" w:rsidR="00722173" w:rsidRPr="007B669B" w:rsidRDefault="00722173" w:rsidP="003225CB">
      <w:pPr>
        <w:pStyle w:val="a3"/>
        <w:numPr>
          <w:ilvl w:val="0"/>
          <w:numId w:val="1"/>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Деепричастия обладают широким значением, могут выражать одновременность, разновременность, имеют разные значения, определяемые по контексту</w:t>
      </w:r>
    </w:p>
    <w:p w14:paraId="419AC070" w14:textId="2A0DAAE2" w:rsidR="008A4A39" w:rsidRDefault="008A4A39" w:rsidP="003225CB">
      <w:pPr>
        <w:pStyle w:val="a3"/>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При анализе собранного материала установлено, ч</w:t>
      </w:r>
      <w:r w:rsidR="003225CB">
        <w:rPr>
          <w:rFonts w:ascii="Times New Roman" w:hAnsi="Times New Roman" w:cs="Times New Roman"/>
          <w:sz w:val="24"/>
          <w:szCs w:val="24"/>
        </w:rPr>
        <w:t>то эти особенности отражены в телугу следующим образом:</w:t>
      </w:r>
    </w:p>
    <w:p w14:paraId="7D534152" w14:textId="3169C441" w:rsidR="00722173" w:rsidRPr="007B669B" w:rsidRDefault="00722173" w:rsidP="003225CB">
      <w:pPr>
        <w:pStyle w:val="a3"/>
        <w:numPr>
          <w:ilvl w:val="0"/>
          <w:numId w:val="2"/>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 xml:space="preserve">В телугу также деепричастия могут иметь субъект, не совпадающий с субъектом уточняемого действия. Деепричастные обороты в телугу играют ту же роль, что и придаточные предложения в других языках, и таких примеров очень много. </w:t>
      </w:r>
    </w:p>
    <w:p w14:paraId="7887452D" w14:textId="088F02F4" w:rsidR="00EF6431" w:rsidRPr="007B669B" w:rsidRDefault="00EF6431" w:rsidP="003225CB">
      <w:pPr>
        <w:pStyle w:val="a3"/>
        <w:numPr>
          <w:ilvl w:val="0"/>
          <w:numId w:val="2"/>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В телугу также часто встречаются аналитические образования с деепричастиями</w:t>
      </w:r>
      <w:r w:rsidR="00EE68EA" w:rsidRPr="007B669B">
        <w:rPr>
          <w:rFonts w:ascii="Times New Roman" w:hAnsi="Times New Roman" w:cs="Times New Roman"/>
          <w:sz w:val="24"/>
          <w:szCs w:val="24"/>
        </w:rPr>
        <w:t>. Так образуются совершенный и длительный вид, передаётся интенсивность и т. д.</w:t>
      </w:r>
    </w:p>
    <w:p w14:paraId="6AE0A521" w14:textId="03090EB2" w:rsidR="00EE68EA" w:rsidRPr="007B669B" w:rsidRDefault="00EE68EA" w:rsidP="003225CB">
      <w:pPr>
        <w:pStyle w:val="a3"/>
        <w:numPr>
          <w:ilvl w:val="0"/>
          <w:numId w:val="2"/>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Повторы деепричастий передают длительность действия, интенсивность, дистрибутивность</w:t>
      </w:r>
      <w:r w:rsidR="00912724">
        <w:rPr>
          <w:rFonts w:ascii="Times New Roman" w:hAnsi="Times New Roman" w:cs="Times New Roman"/>
          <w:sz w:val="24"/>
          <w:szCs w:val="24"/>
        </w:rPr>
        <w:t>.</w:t>
      </w:r>
    </w:p>
    <w:p w14:paraId="24A9A768" w14:textId="798102ED" w:rsidR="00722173" w:rsidRPr="007B669B" w:rsidRDefault="00722173" w:rsidP="003225CB">
      <w:pPr>
        <w:pStyle w:val="a3"/>
        <w:numPr>
          <w:ilvl w:val="0"/>
          <w:numId w:val="2"/>
        </w:numPr>
        <w:spacing w:line="240" w:lineRule="auto"/>
        <w:ind w:left="0" w:firstLine="567"/>
        <w:jc w:val="both"/>
        <w:rPr>
          <w:rFonts w:ascii="Times New Roman" w:hAnsi="Times New Roman" w:cs="Times New Roman"/>
          <w:sz w:val="24"/>
          <w:szCs w:val="24"/>
        </w:rPr>
      </w:pPr>
      <w:r w:rsidRPr="007B669B">
        <w:rPr>
          <w:rFonts w:ascii="Times New Roman" w:hAnsi="Times New Roman" w:cs="Times New Roman"/>
          <w:sz w:val="24"/>
          <w:szCs w:val="24"/>
        </w:rPr>
        <w:t>Деепричастия в телугу так же, как и в якутском, обладают широким значением и могут выражать не только своё изначальное, грамматическое значение, но и другие значения в зависимости от контекста.</w:t>
      </w:r>
    </w:p>
    <w:p w14:paraId="58CC21D1" w14:textId="0D85649C" w:rsidR="00EF6431" w:rsidRPr="007B669B" w:rsidRDefault="00EF6431" w:rsidP="00912724">
      <w:pPr>
        <w:spacing w:line="240" w:lineRule="auto"/>
        <w:ind w:firstLine="567"/>
        <w:jc w:val="both"/>
        <w:rPr>
          <w:rFonts w:ascii="Times New Roman" w:hAnsi="Times New Roman" w:cs="Times New Roman"/>
          <w:sz w:val="24"/>
          <w:szCs w:val="24"/>
          <w:lang w:bidi="hi-IN"/>
        </w:rPr>
      </w:pPr>
      <w:r w:rsidRPr="007B669B">
        <w:rPr>
          <w:rFonts w:ascii="Times New Roman" w:hAnsi="Times New Roman" w:cs="Times New Roman"/>
          <w:sz w:val="24"/>
          <w:szCs w:val="24"/>
        </w:rPr>
        <w:t>Таким образом, деепричастия в языке телугу имеют те же особенности функционирования, что и в якутском языке. Это подтверждает общность строевых особенностей агглютинативных языков вне зависимости от их родства. Данный вывод позволяет применять терминологию, принятую для описания грамматики тюркских языков, при исследовании деепричастий языка телугу, так как он также является агглютинативным и обнаруживает те же особенности.</w:t>
      </w:r>
      <w:r w:rsidRPr="007B669B">
        <w:rPr>
          <w:rFonts w:ascii="Times New Roman" w:hAnsi="Times New Roman" w:cs="Times New Roman"/>
          <w:color w:val="7030A0"/>
          <w:sz w:val="24"/>
          <w:szCs w:val="24"/>
        </w:rPr>
        <w:br/>
      </w:r>
    </w:p>
    <w:p w14:paraId="432A0EE7" w14:textId="30DE170C" w:rsidR="007B69E5" w:rsidRPr="007B669B" w:rsidRDefault="007B69E5" w:rsidP="00912724">
      <w:pPr>
        <w:spacing w:line="240" w:lineRule="auto"/>
        <w:ind w:firstLine="567"/>
        <w:jc w:val="both"/>
        <w:rPr>
          <w:rFonts w:ascii="Times New Roman" w:hAnsi="Times New Roman" w:cs="Times New Roman"/>
          <w:sz w:val="20"/>
          <w:szCs w:val="20"/>
        </w:rPr>
      </w:pPr>
    </w:p>
    <w:sectPr w:rsidR="007B69E5" w:rsidRPr="007B669B" w:rsidSect="007B669B">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C5453"/>
    <w:multiLevelType w:val="hybridMultilevel"/>
    <w:tmpl w:val="AF3C3A28"/>
    <w:lvl w:ilvl="0" w:tplc="BD5E799A">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A643BD"/>
    <w:multiLevelType w:val="hybridMultilevel"/>
    <w:tmpl w:val="E182B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BBF1B7C"/>
    <w:multiLevelType w:val="hybridMultilevel"/>
    <w:tmpl w:val="B2920FE2"/>
    <w:lvl w:ilvl="0" w:tplc="87F08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D1731D3"/>
    <w:multiLevelType w:val="hybridMultilevel"/>
    <w:tmpl w:val="3320B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54"/>
    <w:rsid w:val="003225CB"/>
    <w:rsid w:val="003457F0"/>
    <w:rsid w:val="003E03AD"/>
    <w:rsid w:val="005645F0"/>
    <w:rsid w:val="005A3ACD"/>
    <w:rsid w:val="005C789C"/>
    <w:rsid w:val="005E242F"/>
    <w:rsid w:val="005F0439"/>
    <w:rsid w:val="00722173"/>
    <w:rsid w:val="0076687F"/>
    <w:rsid w:val="007B669B"/>
    <w:rsid w:val="007B69E5"/>
    <w:rsid w:val="00831FD0"/>
    <w:rsid w:val="008535B6"/>
    <w:rsid w:val="008A4A39"/>
    <w:rsid w:val="00912724"/>
    <w:rsid w:val="009C22F7"/>
    <w:rsid w:val="00A4524F"/>
    <w:rsid w:val="00B62DFC"/>
    <w:rsid w:val="00B811AE"/>
    <w:rsid w:val="00C71C54"/>
    <w:rsid w:val="00CF4E69"/>
    <w:rsid w:val="00EE68EA"/>
    <w:rsid w:val="00EF6431"/>
    <w:rsid w:val="00FE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B47C"/>
  <w15:chartTrackingRefBased/>
  <w15:docId w15:val="{6E8F5DFE-27E1-4E8E-90C4-05D3702B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173"/>
    <w:pPr>
      <w:ind w:left="720"/>
      <w:contextualSpacing/>
    </w:pPr>
  </w:style>
  <w:style w:type="character" w:styleId="a4">
    <w:name w:val="annotation reference"/>
    <w:basedOn w:val="a0"/>
    <w:uiPriority w:val="99"/>
    <w:semiHidden/>
    <w:unhideWhenUsed/>
    <w:rsid w:val="003457F0"/>
    <w:rPr>
      <w:sz w:val="16"/>
      <w:szCs w:val="16"/>
    </w:rPr>
  </w:style>
  <w:style w:type="paragraph" w:styleId="a5">
    <w:name w:val="annotation text"/>
    <w:basedOn w:val="a"/>
    <w:link w:val="a6"/>
    <w:uiPriority w:val="99"/>
    <w:semiHidden/>
    <w:unhideWhenUsed/>
    <w:rsid w:val="003457F0"/>
    <w:pPr>
      <w:spacing w:line="240" w:lineRule="auto"/>
    </w:pPr>
    <w:rPr>
      <w:sz w:val="20"/>
      <w:szCs w:val="20"/>
    </w:rPr>
  </w:style>
  <w:style w:type="character" w:customStyle="1" w:styleId="a6">
    <w:name w:val="Текст примечания Знак"/>
    <w:basedOn w:val="a0"/>
    <w:link w:val="a5"/>
    <w:uiPriority w:val="99"/>
    <w:semiHidden/>
    <w:rsid w:val="003457F0"/>
    <w:rPr>
      <w:sz w:val="20"/>
      <w:szCs w:val="20"/>
    </w:rPr>
  </w:style>
  <w:style w:type="paragraph" w:styleId="a7">
    <w:name w:val="annotation subject"/>
    <w:basedOn w:val="a5"/>
    <w:next w:val="a5"/>
    <w:link w:val="a8"/>
    <w:uiPriority w:val="99"/>
    <w:semiHidden/>
    <w:unhideWhenUsed/>
    <w:rsid w:val="003457F0"/>
    <w:rPr>
      <w:b/>
      <w:bCs/>
    </w:rPr>
  </w:style>
  <w:style w:type="character" w:customStyle="1" w:styleId="a8">
    <w:name w:val="Тема примечания Знак"/>
    <w:basedOn w:val="a6"/>
    <w:link w:val="a7"/>
    <w:uiPriority w:val="99"/>
    <w:semiHidden/>
    <w:rsid w:val="003457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567</Words>
  <Characters>4036</Characters>
  <Application>Microsoft Office Word</Application>
  <DocSecurity>0</DocSecurity>
  <Lines>68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14</cp:revision>
  <dcterms:created xsi:type="dcterms:W3CDTF">2025-02-26T18:58:00Z</dcterms:created>
  <dcterms:modified xsi:type="dcterms:W3CDTF">2025-03-01T11:16:00Z</dcterms:modified>
</cp:coreProperties>
</file>