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Реконструкция образов древнеарабских божеств и персонажей низшей мифологии 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лингвокультурологический анализ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</w:rPr>
        <w:t>)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ru-RU"/>
        </w:rPr>
        <w:t>Дунай Е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</w:rPr>
        <w:t>студент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</w:rPr>
        <w:t>Белорусский государственный университет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</w:rPr>
        <w:t>Факультет международных отношений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</w:rPr>
        <w:t>Минск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</w:rPr>
        <w:t>Беларусь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n-US"/>
        </w:rPr>
        <w:t>–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mail: catherine.dounai@gmail.com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Древняя Аравия – колыбель рождения и развития арабской цивилизации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Ее культура представляет собой важнейшую область для исследования доисламских верований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Однако источники изучения крайне ограничены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небольшое количество надписей и резных фигур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доисламская поэзия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внешние источники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еврейские и греческие</w:t>
      </w:r>
      <w:r>
        <w:rPr>
          <w:rFonts w:ascii="Times New Roman" w:hAnsi="Times New Roman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мусульманская литература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Коран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хадисы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произведения исламских авторитетов</w:t>
      </w:r>
      <w:r>
        <w:rPr>
          <w:rFonts w:ascii="Times New Roman" w:hAnsi="Times New Roman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</w:rPr>
        <w:t>данные фольклора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этнографии и художественная литература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Реконструкция образов нам видится актуальной на современном уровне научного знания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Для более эффективного результата предпринята попытка комплексного анализа древнеарабских верований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реконструкции образов доисламского пантеона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spacing w:val="0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При рассмотрении данной темы невозможно обойти вопрос о происхождении термина и понятия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джинн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Существует две основные версии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трансформация заимствованного из авестийского языка термина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джайни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связь с арабским корнем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джим нун нун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 иранской традиции древнейшим названием божественных сущностей с негативными чертами является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дэв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авест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даэва</w:t>
      </w:r>
      <w:r>
        <w:rPr>
          <w:rFonts w:ascii="Times New Roman" w:hAnsi="Times New Roman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</w:rPr>
        <w:t>древнеперс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дайва</w:t>
      </w:r>
      <w:r>
        <w:rPr>
          <w:rFonts w:ascii="Times New Roman" w:hAnsi="Times New Roman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фарси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дивы</w:t>
      </w:r>
      <w:r>
        <w:rPr>
          <w:rFonts w:ascii="Times New Roman" w:hAnsi="Times New Roman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Только в одном сочинении на пехлевийском языке из известных нам встречается слово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джинн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Roman" w:hAnsi="Times Roman" w:hint="default"/>
          <w:i w:val="1"/>
          <w:iCs w:val="1"/>
          <w:spacing w:val="0"/>
          <w:u w:color="000000"/>
          <w:rtl w:val="0"/>
          <w:lang w:val="ru-RU"/>
        </w:rPr>
        <w:t xml:space="preserve">«Все дивы и злые духи сбежались с жалобой к своему главарю диву Гавпайю – предводителю войска шайтанов и вождю гнусных джиннов» 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[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2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].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В толковом словаре персидского языка Деххода отмечается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что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pacing w:val="0"/>
          <w:u w:color="000000"/>
          <w:rtl w:val="0"/>
          <w:cs w:val="1"/>
          <w:lang w:val="ru-RU"/>
        </w:rPr>
        <w:t>جـــن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 и другие слова с данным корнем заимствованы из арабского языка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 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[3]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 арабском языке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напротив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от корня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جــــ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نن</w:t>
      </w:r>
      <w:r>
        <w:rPr>
          <w:rFonts w:ascii="Times New Roman" w:hAnsi="Times New Roman"/>
          <w:u w:color="000000"/>
          <w:rtl w:val="0"/>
          <w:lang w:val="ru-RU"/>
        </w:rPr>
        <w:t xml:space="preserve"> (</w:t>
      </w:r>
      <w:r>
        <w:rPr>
          <w:rFonts w:ascii="Times New Roman" w:hAnsi="Times New Roman" w:hint="default"/>
          <w:u w:color="000000"/>
          <w:rtl w:val="0"/>
          <w:lang w:val="ru-RU"/>
        </w:rPr>
        <w:t>ʒ</w:t>
      </w:r>
      <w:r>
        <w:rPr>
          <w:rFonts w:ascii="Times New Roman" w:hAnsi="Times New Roman"/>
          <w:u w:color="000000"/>
          <w:rtl w:val="0"/>
          <w:lang w:val="ru-RU"/>
        </w:rPr>
        <w:t>nn) (d</w:t>
      </w:r>
      <w:r>
        <w:rPr>
          <w:rFonts w:ascii="Times New Roman" w:hAnsi="Times New Roman" w:hint="default"/>
          <w:u w:color="000000"/>
          <w:rtl w:val="0"/>
          <w:lang w:val="ru-RU"/>
        </w:rPr>
        <w:t>ž</w:t>
      </w:r>
      <w:r>
        <w:rPr>
          <w:rFonts w:ascii="Times New Roman" w:hAnsi="Times New Roman"/>
          <w:u w:color="000000"/>
          <w:rtl w:val="0"/>
          <w:lang w:val="ru-RU"/>
        </w:rPr>
        <w:t>i</w:t>
      </w:r>
      <w:r>
        <w:rPr>
          <w:rFonts w:ascii="Times New Roman" w:hAnsi="Times New Roman" w:hint="default"/>
          <w:u w:color="000000"/>
          <w:rtl w:val="0"/>
          <w:lang w:val="ru-RU"/>
        </w:rPr>
        <w:t>̄</w:t>
      </w:r>
      <w:r>
        <w:rPr>
          <w:rFonts w:ascii="Times New Roman" w:hAnsi="Times New Roman"/>
          <w:u w:color="000000"/>
          <w:rtl w:val="0"/>
          <w:lang w:val="ru-RU"/>
        </w:rPr>
        <w:t>m nu</w:t>
      </w:r>
      <w:r>
        <w:rPr>
          <w:rFonts w:ascii="Times New Roman" w:hAnsi="Times New Roman" w:hint="default"/>
          <w:u w:color="000000"/>
          <w:rtl w:val="0"/>
          <w:lang w:val="ru-RU"/>
        </w:rPr>
        <w:t>̄</w:t>
      </w:r>
      <w:r>
        <w:rPr>
          <w:rFonts w:ascii="Times New Roman" w:hAnsi="Times New Roman"/>
          <w:u w:color="000000"/>
          <w:rtl w:val="0"/>
          <w:lang w:val="ru-RU"/>
        </w:rPr>
        <w:t>n nu</w:t>
      </w:r>
      <w:r>
        <w:rPr>
          <w:rFonts w:ascii="Times New Roman" w:hAnsi="Times New Roman" w:hint="default"/>
          <w:u w:color="000000"/>
          <w:rtl w:val="0"/>
          <w:lang w:val="ru-RU"/>
        </w:rPr>
        <w:t>̄</w:t>
      </w:r>
      <w:r>
        <w:rPr>
          <w:rFonts w:ascii="Times New Roman" w:hAnsi="Times New Roman"/>
          <w:u w:color="000000"/>
          <w:rtl w:val="0"/>
          <w:lang w:val="ru-RU"/>
        </w:rPr>
        <w:t xml:space="preserve">n) </w:t>
      </w:r>
      <w:r>
        <w:rPr>
          <w:rFonts w:ascii="Times New Roman" w:hAnsi="Times New Roman" w:hint="default"/>
          <w:u w:color="000000"/>
          <w:rtl w:val="0"/>
          <w:lang w:val="ru-RU"/>
        </w:rPr>
        <w:t>происходит множество арабских слов</w:t>
      </w:r>
      <w:r>
        <w:rPr>
          <w:rFonts w:ascii="Times New Roman" w:hAnsi="Times New Roman"/>
          <w:u w:color="000000"/>
          <w:rtl w:val="0"/>
          <w:lang w:val="ru-RU"/>
        </w:rPr>
        <w:t xml:space="preserve"> [1]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Можно выделить два основных значения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‘скрытое от зрения и слуха’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‘дух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спирит’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Во многих европейских языках известно слово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гений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берущее начало от латинского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genius </w:t>
      </w:r>
      <w:r>
        <w:rPr>
          <w:rFonts w:ascii="Times New Roman" w:hAnsi="Times New Roman" w:hint="default"/>
          <w:u w:color="000000"/>
          <w:rtl w:val="0"/>
          <w:lang w:val="ru-RU"/>
        </w:rPr>
        <w:t>‘гений’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‘дух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хранитель’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Вопрос состоит в том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является ли оно собственно латинским или заимствовано из арабского языка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По одной из версий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genius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образовано от латинского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gigno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или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geno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‘рождаю’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‘произвожу’</w:t>
      </w:r>
      <w:r>
        <w:rPr>
          <w:rFonts w:ascii="Times New Roman" w:hAnsi="Times New Roman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u w:color="000000"/>
          <w:rtl w:val="0"/>
          <w:lang w:val="ru-RU"/>
        </w:rPr>
        <w:t>Мы склонны считать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изначально оно связано с арабским языком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подтверждается работой 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Пихана «</w:t>
      </w:r>
      <w:r>
        <w:rPr>
          <w:rFonts w:ascii="Times New Roman" w:hAnsi="Times New Roman"/>
          <w:u w:color="000000"/>
          <w:rtl w:val="0"/>
          <w:lang w:val="ru-RU"/>
        </w:rPr>
        <w:t>Glossaire des mots fran</w:t>
      </w:r>
      <w:r>
        <w:rPr>
          <w:rFonts w:ascii="Times New Roman" w:hAnsi="Times New Roman" w:hint="default"/>
          <w:u w:color="000000"/>
          <w:rtl w:val="0"/>
          <w:lang w:val="ru-RU"/>
        </w:rPr>
        <w:t>ç</w:t>
      </w:r>
      <w:r>
        <w:rPr>
          <w:rFonts w:ascii="Times New Roman" w:hAnsi="Times New Roman"/>
          <w:u w:color="000000"/>
          <w:rtl w:val="0"/>
          <w:lang w:val="ru-RU"/>
        </w:rPr>
        <w:t>ais tir</w:t>
      </w:r>
      <w:r>
        <w:rPr>
          <w:rFonts w:ascii="Times New Roman" w:hAnsi="Times New Roman" w:hint="default"/>
          <w:u w:color="000000"/>
          <w:rtl w:val="0"/>
          <w:lang w:val="ru-RU"/>
        </w:rPr>
        <w:t>é</w:t>
      </w:r>
      <w:r>
        <w:rPr>
          <w:rFonts w:ascii="Times New Roman" w:hAnsi="Times New Roman"/>
          <w:u w:color="000000"/>
          <w:rtl w:val="0"/>
          <w:lang w:val="ru-RU"/>
        </w:rPr>
        <w:t>s de l'arabe, du persan et du turc</w:t>
      </w:r>
      <w:r>
        <w:rPr>
          <w:rFonts w:ascii="Times New Roman" w:hAnsi="Times New Roman" w:hint="default"/>
          <w:u w:color="000000"/>
          <w:rtl w:val="0"/>
          <w:lang w:val="ru-RU"/>
        </w:rPr>
        <w:t>»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где указывается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что французское слово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>g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é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nie </w:t>
      </w:r>
      <w:r>
        <w:rPr>
          <w:rFonts w:ascii="Times New Roman" w:hAnsi="Times New Roman" w:hint="default"/>
          <w:u w:color="000000"/>
          <w:rtl w:val="0"/>
          <w:lang w:val="ru-RU"/>
        </w:rPr>
        <w:t>имеет два значения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‘гений’ и ‘демон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джинн’</w:t>
      </w:r>
      <w:r>
        <w:rPr>
          <w:rFonts w:ascii="Times New Roman" w:hAnsi="Times New Roman" w:hint="default"/>
          <w:u w:color="000000"/>
          <w:rtl w:val="0"/>
          <w:lang w:val="ru-RU"/>
        </w:rPr>
        <w:t> </w:t>
      </w:r>
      <w:r>
        <w:rPr>
          <w:rFonts w:ascii="Times New Roman" w:hAnsi="Times New Roman"/>
          <w:u w:color="000000"/>
          <w:rtl w:val="0"/>
          <w:lang w:val="ru-RU"/>
        </w:rPr>
        <w:t>[4]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Первое из этих понятий пришло во французский от латинского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genius. </w:t>
      </w:r>
      <w:r>
        <w:rPr>
          <w:rFonts w:ascii="Times New Roman" w:hAnsi="Times New Roman" w:hint="default"/>
          <w:u w:color="000000"/>
          <w:rtl w:val="0"/>
          <w:lang w:val="ru-RU"/>
        </w:rPr>
        <w:t>Второе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означающие категорию демонологических персонажей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было заимствовано позже при переводе сказок 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Галланом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 впоследствии обрело дополнительные варианты записи</w:t>
      </w:r>
      <w:r>
        <w:rPr>
          <w:rFonts w:ascii="Times New Roman" w:hAnsi="Times New Roman"/>
          <w:u w:color="000000"/>
          <w:rtl w:val="0"/>
          <w:lang w:val="ru-RU"/>
        </w:rPr>
        <w:t xml:space="preserve">: djinn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u w:color="000000"/>
          <w:rtl w:val="0"/>
          <w:lang w:val="ru-RU"/>
        </w:rPr>
        <w:t>jinn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Пихан подчеркивает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что слово </w:t>
      </w:r>
      <w:r>
        <w:rPr>
          <w:rFonts w:ascii="Times Roman" w:hAnsi="Times Roman"/>
          <w:i w:val="1"/>
          <w:iCs w:val="1"/>
          <w:u w:color="000000"/>
          <w:rtl w:val="0"/>
          <w:lang w:val="ru-RU"/>
        </w:rPr>
        <w:t xml:space="preserve">genius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происходит от арабского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جــــن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записанного на латинский манер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 арабской картине мира сумасшедший человек </w:t>
      </w:r>
      <w:r>
        <w:rPr>
          <w:rFonts w:ascii="Times New Roman" w:hAnsi="Times New Roman"/>
          <w:u w:color="000000"/>
          <w:rtl w:val="0"/>
          <w:lang w:val="ru-RU"/>
        </w:rPr>
        <w:t>(mad</w:t>
      </w:r>
      <w:r>
        <w:rPr>
          <w:rFonts w:ascii="Times New Roman" w:hAnsi="Times New Roman" w:hint="default"/>
          <w:u w:color="000000"/>
          <w:rtl w:val="0"/>
          <w:lang w:val="ru-RU"/>
        </w:rPr>
        <w:t>ž</w:t>
      </w:r>
      <w:r>
        <w:rPr>
          <w:rFonts w:ascii="Times New Roman" w:hAnsi="Times New Roman"/>
          <w:u w:color="000000"/>
          <w:rtl w:val="0"/>
          <w:lang w:val="ru-RU"/>
        </w:rPr>
        <w:t xml:space="preserve">nun) </w:t>
      </w:r>
      <w:r>
        <w:rPr>
          <w:rFonts w:ascii="Times New Roman" w:hAnsi="Times New Roman" w:hint="default"/>
          <w:u w:color="000000"/>
          <w:rtl w:val="0"/>
          <w:lang w:val="ru-RU"/>
        </w:rPr>
        <w:t>семантически и лексически связан с спиритическим и понимается как ‘тот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 кого сокрыт ум’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‘наделенный знанием’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 европейской традиции подобной характеристикой обладает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>гений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Говоря о конкретных образах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можно вспомнить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культ Манат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который был распространен в Северной и Центральной Аравии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среди некоторых других семитских народов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Ей поклонялись племена гузаиль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хузаа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аус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хазрадж и жители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Йасриба 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Медина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В Вавилоне ее именовали </w:t>
      </w:r>
      <w:r>
        <w:rPr>
          <w:rFonts w:ascii="Times Roman" w:hAnsi="Times Roman" w:hint="default"/>
          <w:i w:val="1"/>
          <w:iCs w:val="1"/>
          <w:spacing w:val="0"/>
          <w:u w:color="000000"/>
          <w:rtl w:val="0"/>
          <w:lang w:val="ru-RU"/>
        </w:rPr>
        <w:t xml:space="preserve">Ма манату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pacing w:val="0"/>
          <w:u w:color="000000"/>
          <w:rtl w:val="0"/>
          <w:cs w:val="1"/>
          <w:lang w:val="ru-RU"/>
        </w:rPr>
        <w:t>مــــا</w:t>
      </w:r>
      <w:r>
        <w:rPr>
          <w:rFonts w:ascii="Times Roman" w:hAnsi="Times Roman"/>
          <w:spacing w:val="0"/>
          <w:u w:color="000000"/>
          <w:rtl w:val="0"/>
          <w:lang w:val="ru-RU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pacing w:val="0"/>
          <w:u w:color="000000"/>
          <w:rtl w:val="0"/>
          <w:cs w:val="1"/>
          <w:lang w:val="ru-RU"/>
        </w:rPr>
        <w:t>مــــ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pacing w:val="0"/>
          <w:u w:color="000000"/>
          <w:rtl w:val="1"/>
          <w:lang w:val="ar-SA" w:bidi="ar-SA"/>
        </w:rPr>
        <w:t>نا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pacing w:val="0"/>
          <w:u w:color="000000"/>
          <w:rtl w:val="0"/>
          <w:cs w:val="1"/>
          <w:lang w:val="ru-RU"/>
        </w:rPr>
        <w:t>تــــو</w:t>
      </w:r>
      <w:r>
        <w:rPr>
          <w:rFonts w:ascii="Times Roman" w:hAnsi="Times Roman"/>
          <w:spacing w:val="0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‘та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что </w:t>
      </w:r>
      <w:r>
        <w:rPr>
          <w:rFonts w:ascii="Times New Roman" w:hAnsi="Times New Roman" w:hint="default"/>
          <w:u w:color="000000"/>
          <w:rtl w:val="0"/>
          <w:lang w:val="ru-RU"/>
        </w:rPr>
        <w:t>испытывает’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а иудеи –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Мавет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מוות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‘смерть’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что в арабском варианте звучит как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Моут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موت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 Набатее и Пальмире она имела имя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Манават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منوات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или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Манавату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مان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ــ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و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تو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и отождествлялась с греческими богинями Тиха и Немезида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Ее имя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مــــ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1"/>
          <w:lang w:val="ar-SA" w:bidi="ar-SA"/>
        </w:rPr>
        <w:t>نا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ة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может происходить от арабского </w:t>
      </w:r>
      <w:r>
        <w:rPr>
          <w:rFonts w:ascii="Times Roman" w:hAnsi="Times Roman" w:hint="default"/>
          <w:i w:val="1"/>
          <w:iCs w:val="1"/>
          <w:u w:color="000000"/>
          <w:rtl w:val="0"/>
          <w:lang w:val="ru-RU"/>
        </w:rPr>
        <w:t xml:space="preserve">Манун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color="000000"/>
          <w:rtl w:val="0"/>
          <w:cs w:val="1"/>
          <w:lang w:val="ru-RU"/>
        </w:rPr>
        <w:t>مــنون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‘судьба’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‘рок’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‘смертный рок’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Все это подтверждает роль Манат в качестве богини судьбы и возмездия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локально и повелительницы подземного царства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хранительницы погребений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Лингвокультурологический подход помог выявить взаимосвязи древнесемитских корней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имен Баал и Аллат</w:t>
      </w:r>
      <w:r>
        <w:rPr>
          <w:rFonts w:ascii="Times New Roman" w:hAnsi="Times New Roman"/>
          <w:u w:color="000000"/>
          <w:rtl w:val="0"/>
          <w:lang w:val="ru-RU"/>
        </w:rPr>
        <w:t xml:space="preserve">); </w:t>
      </w:r>
      <w:r>
        <w:rPr>
          <w:rFonts w:ascii="Times New Roman" w:hAnsi="Times New Roman" w:hint="default"/>
          <w:u w:color="000000"/>
          <w:rtl w:val="0"/>
          <w:lang w:val="ru-RU"/>
        </w:rPr>
        <w:t>пересечение образов греческой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шумерско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аккадской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угаритской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финикийской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иудейской традиций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Аллах – Илу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Эл</w:t>
      </w:r>
      <w:r>
        <w:rPr>
          <w:rFonts w:ascii="Times New Roman" w:hAnsi="Times New Roman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</w:rPr>
        <w:t>Баал – Мардук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Бэл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Вельзевул</w:t>
      </w:r>
      <w:r>
        <w:rPr>
          <w:rFonts w:ascii="Times New Roman" w:hAnsi="Times New Roman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</w:rPr>
        <w:t>Манат – Тиха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Немезида</w:t>
      </w:r>
      <w:r>
        <w:rPr>
          <w:rFonts w:ascii="Times New Roman" w:hAnsi="Times New Roman"/>
          <w:u w:color="000000"/>
          <w:rtl w:val="0"/>
          <w:lang w:val="ru-RU"/>
        </w:rPr>
        <w:t xml:space="preserve">);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определить функции божества по его имени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Манат – ‘та что испытывает’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‘рок’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Руда – ‘земная’</w:t>
      </w:r>
      <w:r>
        <w:rPr>
          <w:rFonts w:ascii="Times New Roman" w:hAnsi="Times New Roman"/>
          <w:u w:color="000000"/>
          <w:rtl w:val="0"/>
          <w:lang w:val="ru-RU"/>
        </w:rPr>
        <w:t xml:space="preserve">).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39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Лингвокультурологический анализ дает возможность учесть больше аспектов при реконструкции понятий и образов доисламской культуры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выявить их глубинное значение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Литература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pacing w:val="0"/>
          <w:u w:color="000000"/>
          <w:rtl w:val="0"/>
          <w:lang w:val="ru-RU"/>
        </w:rPr>
      </w:pP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Мухаммад бин Мукаррам ибн Манзур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Лисан аль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араб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в 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6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т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– Каир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Дар ал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маариф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5006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с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>https://avesta.tripod.com/pehlev/Friyan.htm (</w:t>
      </w:r>
      <w:r>
        <w:rPr>
          <w:rFonts w:ascii="Times New Roman" w:hAnsi="Times New Roman" w:hint="default"/>
          <w:u w:color="000000"/>
          <w:rtl w:val="0"/>
          <w:lang w:val="ru-RU"/>
        </w:rPr>
        <w:t>Повесть о Йойште Фрияне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Предисловие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перевод и комментарии А</w:t>
      </w:r>
      <w:r>
        <w:rPr>
          <w:rFonts w:ascii="Times New Roman" w:hAnsi="Times New Roman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> А</w:t>
      </w:r>
      <w:r>
        <w:rPr>
          <w:rFonts w:ascii="Times New Roman" w:hAnsi="Times New Roman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> Амбарцумяна</w:t>
      </w:r>
      <w:r>
        <w:rPr>
          <w:rFonts w:ascii="Times New Roman" w:hAnsi="Times New Roman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spacing w:val="0"/>
          <w:u w:color="000000"/>
          <w:rtl w:val="0"/>
          <w:lang w:val="ru-RU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>https://dehkhoda.ut.ac.ir/fa/dictionary/</w:t>
      </w:r>
      <w:r>
        <w:rPr>
          <w:rFonts w:ascii="Arial Unicode MS" w:cs="Times New Roman" w:hAnsi="Arial Unicode MS" w:eastAsia="Arial Unicode MS" w:hint="cs"/>
          <w:spacing w:val="0"/>
          <w:u w:color="000000"/>
          <w:rtl w:val="0"/>
          <w:cs w:val="1"/>
          <w:lang w:val="ru-RU"/>
        </w:rPr>
        <w:t xml:space="preserve">جن 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Толковый словарь персидского языка Деххода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)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>Pihan, A. P. Glossaire des mots franc</w:t>
      </w:r>
      <w:r>
        <w:rPr>
          <w:rFonts w:ascii="Times New Roman" w:hAnsi="Times New Roman" w:hint="default"/>
          <w:u w:color="000000"/>
          <w:rtl w:val="0"/>
          <w:lang w:val="ru-RU"/>
        </w:rPr>
        <w:t>̧</w:t>
      </w:r>
      <w:r>
        <w:rPr>
          <w:rFonts w:ascii="Times New Roman" w:hAnsi="Times New Roman"/>
          <w:u w:color="000000"/>
          <w:rtl w:val="0"/>
          <w:lang w:val="ru-RU"/>
        </w:rPr>
        <w:t>ais tire</w:t>
      </w:r>
      <w:r>
        <w:rPr>
          <w:rFonts w:ascii="Times New Roman" w:hAnsi="Times New Roman" w:hint="default"/>
          <w:u w:color="000000"/>
          <w:rtl w:val="0"/>
          <w:lang w:val="ru-RU"/>
        </w:rPr>
        <w:t>́</w:t>
      </w:r>
      <w:r>
        <w:rPr>
          <w:rFonts w:ascii="Times New Roman" w:hAnsi="Times New Roman"/>
          <w:u w:color="000000"/>
          <w:rtl w:val="0"/>
          <w:lang w:val="ru-RU"/>
        </w:rPr>
        <w:t>s de l'arabe, du persan et du turc / A. P. Pihan // Chez Benjamin Duprat / Libraire de l</w:t>
      </w:r>
      <w:r>
        <w:rPr>
          <w:rFonts w:ascii="Times New Roman" w:hAnsi="Times New Roman" w:hint="default"/>
          <w:u w:color="000000"/>
          <w:rtl w:val="0"/>
          <w:lang w:val="ru-RU"/>
        </w:rPr>
        <w:t>’</w:t>
      </w:r>
      <w:r>
        <w:rPr>
          <w:rFonts w:ascii="Times New Roman" w:hAnsi="Times New Roman"/>
          <w:u w:color="000000"/>
          <w:rtl w:val="0"/>
          <w:lang w:val="ru-RU"/>
        </w:rPr>
        <w:t>Institut de la Bibliothe</w:t>
      </w:r>
      <w:r>
        <w:rPr>
          <w:rFonts w:ascii="Times New Roman" w:hAnsi="Times New Roman" w:hint="default"/>
          <w:u w:color="000000"/>
          <w:rtl w:val="0"/>
          <w:lang w:val="ru-RU"/>
        </w:rPr>
        <w:t>̀</w:t>
      </w:r>
      <w:r>
        <w:rPr>
          <w:rFonts w:ascii="Times New Roman" w:hAnsi="Times New Roman"/>
          <w:u w:color="000000"/>
          <w:rtl w:val="0"/>
          <w:lang w:val="ru-RU"/>
        </w:rPr>
        <w:t>que royale et de la Socie</w:t>
      </w:r>
      <w:r>
        <w:rPr>
          <w:rFonts w:ascii="Times New Roman" w:hAnsi="Times New Roman" w:hint="default"/>
          <w:u w:color="000000"/>
          <w:rtl w:val="0"/>
          <w:lang w:val="ru-RU"/>
        </w:rPr>
        <w:t>́</w:t>
      </w:r>
      <w:r>
        <w:rPr>
          <w:rFonts w:ascii="Times New Roman" w:hAnsi="Times New Roman"/>
          <w:u w:color="000000"/>
          <w:rtl w:val="0"/>
          <w:lang w:val="ru-RU"/>
        </w:rPr>
        <w:t>te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́ </w:t>
      </w:r>
      <w:r>
        <w:rPr>
          <w:rFonts w:ascii="Times New Roman" w:hAnsi="Times New Roman"/>
          <w:u w:color="000000"/>
          <w:rtl w:val="0"/>
          <w:lang w:val="ru-RU"/>
        </w:rPr>
        <w:t xml:space="preserve">asiatique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u w:color="000000"/>
          <w:rtl w:val="0"/>
          <w:lang w:val="ru-RU"/>
        </w:rPr>
        <w:t xml:space="preserve">Paris, 1847.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u w:color="000000"/>
          <w:rtl w:val="0"/>
          <w:lang w:val="en-US"/>
        </w:rPr>
        <w:t>P</w:t>
      </w:r>
      <w:r>
        <w:rPr>
          <w:rFonts w:ascii="Times New Roman" w:hAnsi="Times New Roman"/>
          <w:u w:color="000000"/>
          <w:rtl w:val="0"/>
          <w:lang w:val="ru-RU"/>
        </w:rPr>
        <w:t>. 134</w:t>
      </w:r>
      <w:r>
        <w:rPr>
          <w:rFonts w:ascii="Times New Roman" w:hAnsi="Times New Roman" w:hint="default"/>
          <w:u w:color="000000"/>
          <w:rtl w:val="0"/>
          <w:lang w:val="ru-RU"/>
        </w:rPr>
        <w:t>–</w:t>
      </w:r>
      <w:r>
        <w:rPr>
          <w:rFonts w:ascii="Times New Roman" w:hAnsi="Times New Roman"/>
          <w:u w:color="000000"/>
          <w:rtl w:val="0"/>
          <w:lang w:val="ru-RU"/>
        </w:rPr>
        <w:t>135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361" w:bottom="1134" w:left="1361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592"/>
        <w:tab w:val="right" w:pos="9184"/>
        <w:tab w:val="clear" w:pos="9020"/>
      </w:tabs>
      <w:bidi w:val="0"/>
      <w:spacing w:after="200"/>
      <w:ind w:left="0" w:right="0" w:firstLine="0"/>
      <w:jc w:val="left"/>
      <w:rPr>
        <w:rtl w:val="0"/>
      </w:rPr>
    </w:pPr>
    <w:r>
      <w:rPr>
        <w:rFonts w:ascii="Times New Roman" w:hAnsi="Times New Roman" w:hint="default"/>
        <w:i w:val="1"/>
        <w:iCs w:val="1"/>
        <w:shd w:val="clear" w:color="auto" w:fill="ffffff"/>
        <w:rtl w:val="0"/>
      </w:rPr>
      <w:t>продолжение основного текста тезисов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