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Roboto" w:cs="Roboto" w:eastAsia="Roboto" w:hAnsi="Roboto"/>
          <w:b w:val="1"/>
          <w:color w:val="353535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353535"/>
          <w:sz w:val="24"/>
          <w:szCs w:val="24"/>
          <w:rtl w:val="0"/>
        </w:rPr>
        <w:t xml:space="preserve">Английский на улицах столицы: перевод и транскрибирование как стратегии передачи европеизмов в урбанонимах современного Тегерана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Roboto" w:cs="Roboto" w:eastAsia="Roboto" w:hAnsi="Roboto"/>
          <w:b w:val="1"/>
          <w:i w:val="1"/>
          <w:color w:val="353535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53535"/>
          <w:sz w:val="24"/>
          <w:szCs w:val="24"/>
          <w:rtl w:val="0"/>
        </w:rPr>
        <w:t xml:space="preserve">Столярова Полина Александровна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Roboto" w:cs="Roboto" w:eastAsia="Roboto" w:hAnsi="Roboto"/>
          <w:i w:val="1"/>
          <w:color w:val="353535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353535"/>
          <w:sz w:val="24"/>
          <w:szCs w:val="24"/>
          <w:rtl w:val="0"/>
        </w:rPr>
        <w:t xml:space="preserve">Студент, 1 курс бакалавриата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Roboto" w:cs="Roboto" w:eastAsia="Roboto" w:hAnsi="Roboto"/>
          <w:i w:val="1"/>
          <w:color w:val="353535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353535"/>
          <w:sz w:val="24"/>
          <w:szCs w:val="24"/>
          <w:rtl w:val="0"/>
        </w:rPr>
        <w:t xml:space="preserve">Московский государственный университет имени М.В.Ломоносова,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Roboto" w:cs="Roboto" w:eastAsia="Roboto" w:hAnsi="Roboto"/>
          <w:i w:val="1"/>
          <w:color w:val="353535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353535"/>
          <w:sz w:val="24"/>
          <w:szCs w:val="24"/>
          <w:rtl w:val="0"/>
        </w:rPr>
        <w:t xml:space="preserve">Институт стран Азии и Африки, Москва, Россия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Roboto" w:cs="Roboto" w:eastAsia="Roboto" w:hAnsi="Roboto"/>
          <w:i w:val="1"/>
          <w:color w:val="353535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353535"/>
          <w:sz w:val="24"/>
          <w:szCs w:val="24"/>
          <w:rtl w:val="0"/>
        </w:rPr>
        <w:t xml:space="preserve">E–mail: polaria110@yandex.ru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Целью предлагаемого доклада является анализ урбанонимов Тегерана на предмет особенностей функционирования и адаптации англицизмов и интернационализмов в столичном лингвистическом ландшафте с учетом иранской языковой политики пуризма.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Особенности графической адаптации европеизмов и частота использования перевода в передаче локальных топонимов рассматриваются в контексте существующих стратегий включения англоязычных элементов в языковую панораму города: 1) использование только английского, 2) передача персидских латиницей, 3) дублирование в двух графиках. Эти тенденции изучаются на основе собранного корпуса микротопонимов: названия кафе, кинотеатров, магазинов, а также городских указателей. Выбор данных объектов для исследования обусловлен их лёгкой проницаемостью по отношению к заимствованиям-неологизмам. Также как дополнительный объект исследования привлечен материал интерьеров, то есть меню, афиши, рекламные материалы и каталоги представленных товаров, доступные в онлайн изданиях о локальных городских объектах: навигаторы (balad.ir, google.maps) и сайты-путеводители (lastsecond.ir, kojaro.com).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поисковым запросам kāfe ‘кафе’, mobāylforuši ‘магазин сотовых’, markaz-e xarid ‘торговый центр’, sinemā ‘кинотеатр’, fastfud ‘фаст фуд’, pitzāforuši ‘пиццерия’ были отобраны содержащие урбанонимы фотографии и краткие описания городских объектов, сделанные за последние шесть лет. Составленный корпус урбанонимов включает названия 118 кафе и ресторанов быстрого питания, 41 магазин электроники, 27 кинотеатров, 20 уличных указателей Тегерана, 5 торговых моллов и 3 книжных магазина.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изучения престижа, функционирования и фактического статуса английского в Иране, помимо общих работ [1; 2], были проведены отдельные исследования по языковой ситуации и лингвистическому ландшафту других городов. Так, на примере города Урмия [3] анализировалась роль английского языка в образовательной системе, в СМИ, в деловой и урбанистической сфере, в частности, при оформлении вывесок и городских указателей. На локальном материале Исфахана [4] изучался мультилингвальный ландшафт района Джульфа, где, согласно статистике, доминирует персидский, а вторым по популярности оказывается английский. В городе Пираншархр также отмечается все большее присутствие в городе вывесок на английском языке и в целом влияние глобализации на жизнь населения [5].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Среди 118 отобранных названий кафе и ресторанов 75 содержат адаптированные англицизмы/интернационализмы (1). Часто используется только транскрипция латиницей, например, fast food ‘фастфуд’ для персидского fastfud (2). Кроме того, в большинстве фастфудов без перевода и в латинице широко представлены распространенные во всем мире напитки: kokā ко/ulā ‘кока-кола’, рерsi ‘пепси’. Без дублирования и без перевода часто встречаются англоязычные рекламные вывески со множеством интернационализмов (3). Нередко предлагается меню с переводом на английский (4).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omid berger ‘Омид бургер’ - omid pizza ‘Омид пицца’; 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 fastfud padideh ‘фаст фуд Феномен’- fast food Padideh; pitzā sāndvič eram ‘пицца и сэндвич Эрам’ - fast food Eram, fastfud šāpur ‘фаст фуд Шапур’ - fast food Shapoor;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 welcome ‘добро пожаловать’, take away ‘можно взять с собой’, pizza ‘пицца’, sandwich ‘сэндвич’, it's always time for coffee ‘всегда время кофе’, just enjoy staying here просто наслаждайся тем, что ты здесь’, healthy food ‘здоровая еда’;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 Juice - ābmivehā ‘соки’, Cold drinks - nušidanihā-ye sard ‘прохладительные напитки’, Pizza meat &amp; mushroom – pitzāgušt-o qārč ‘пицца с мясом и грибами’, Meal's - xorākhā ‘основные блюда’, chicken steak – esteyk-e morq ‘куриный стейк’. </w:t>
      </w:r>
    </w:p>
    <w:p w:rsidR="00000000" w:rsidDel="00000000" w:rsidP="00000000" w:rsidRDefault="00000000" w:rsidRPr="00000000" w14:paraId="00000010">
      <w:pPr>
        <w:spacing w:after="0" w:line="240" w:lineRule="auto"/>
        <w:ind w:firstLine="56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 27 изученных кинотеатров на вывесках семи были использованы европеизмы, при этом нередко названия дублируются латиницей (5). Афиши фильмов по большей части не содержат английских названий. Из 10 фильмов, находящихся сейчас в прокате, у 4 фильмов названиям был дан перевод на английский (6).</w:t>
      </w:r>
    </w:p>
    <w:p w:rsidR="00000000" w:rsidDel="00000000" w:rsidP="00000000" w:rsidRDefault="00000000" w:rsidRPr="00000000" w14:paraId="00000011">
      <w:pPr>
        <w:spacing w:after="0" w:line="240" w:lineRule="auto"/>
        <w:ind w:firstLine="56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(5) Mellat gallery &amp; cineplex – pardis-e sinemā(i-ye) [gāleri-(ye)] mellat ‘центр - кинотеатр и галерея Меллат’; sinemā āstāra ‘кинотеатр Астара’ - Astara cinema;</w:t>
      </w:r>
    </w:p>
    <w:p w:rsidR="00000000" w:rsidDel="00000000" w:rsidP="00000000" w:rsidRDefault="00000000" w:rsidRPr="00000000" w14:paraId="00000012">
      <w:pPr>
        <w:spacing w:after="0" w:line="240" w:lineRule="auto"/>
        <w:ind w:firstLine="56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(6) Sobhāne bā zarāfehā ‘завтрак с жирафами’ - breakfast with giraffes, dāynāsor ‘динозавр’ – dinosaur.</w:t>
      </w:r>
    </w:p>
    <w:p w:rsidR="00000000" w:rsidDel="00000000" w:rsidP="00000000" w:rsidRDefault="00000000" w:rsidRPr="00000000" w14:paraId="00000013">
      <w:pPr>
        <w:spacing w:after="0" w:line="240" w:lineRule="auto"/>
        <w:ind w:firstLine="56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Были проанализированы фотографии внутреннего пространства пяти торговых моллов Тегерана. В каждом из них присутствовали вывески у торговых точек (как иранских (7), так и интернациональных (8)), которые были написаны с использованием английских слов (7) и транскрипцией (8). </w:t>
      </w:r>
    </w:p>
    <w:p w:rsidR="00000000" w:rsidDel="00000000" w:rsidP="00000000" w:rsidRDefault="00000000" w:rsidRPr="00000000" w14:paraId="00000014">
      <w:pPr>
        <w:spacing w:after="0" w:line="240" w:lineRule="auto"/>
        <w:ind w:firstLine="56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(7) только транскрипция EXITEX (иранский магазин мужской одежды), англицизм Shoe land ‘магазин обуви’;</w:t>
      </w:r>
    </w:p>
    <w:p w:rsidR="00000000" w:rsidDel="00000000" w:rsidP="00000000" w:rsidRDefault="00000000" w:rsidRPr="00000000" w14:paraId="00000015">
      <w:pPr>
        <w:spacing w:after="0" w:line="240" w:lineRule="auto"/>
        <w:ind w:firstLine="56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(8) дублирование в графике и в транскрипции названий международных марок Fila, Zara, Yves Rocher, представлено в торговых центрах с вывесками и на персидском, например, FILA - filā ‘Фила’.</w:t>
      </w:r>
    </w:p>
    <w:p w:rsidR="00000000" w:rsidDel="00000000" w:rsidP="00000000" w:rsidRDefault="00000000" w:rsidRPr="00000000" w14:paraId="00000016">
      <w:pPr>
        <w:spacing w:after="0" w:line="240" w:lineRule="auto"/>
        <w:ind w:firstLine="56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19 магазинах электроники (из 41) названия марок Samsung, apple, huawei, iphone, mobile даются латиницей, при этом название только двух магазинов транскрибированы на латинице. В одном из трех книжных магазинов на внутренних указателях дается название и в персидской графике, и латиницей: kāfe ketāb ‘книжное кафе’ - book cafe.</w:t>
      </w:r>
    </w:p>
    <w:p w:rsidR="00000000" w:rsidDel="00000000" w:rsidP="00000000" w:rsidRDefault="00000000" w:rsidRPr="00000000" w14:paraId="00000017">
      <w:pPr>
        <w:spacing w:after="0" w:line="240" w:lineRule="auto"/>
        <w:ind w:firstLine="56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городских указателях в Тегеране для передачи локальных топонимов используется транскрипция, типовые названия городских объектов (улица, переулок) представлены сокращенным англицизмом, например, avval tehrānpārs “первая площадь Техран-парс” - Tehranpars 1st sq (first square).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Проведенный анализ позволяет сделать предварительные выводы о присутствии в городской среде названий, содержащих англицизмы или транскрипцию персидских названий латиницей, что в контексте анализа роста престижа английского в Иране может рассматриваться как один из параметров его распространения в быту, в данном случае, в городском пространстве.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Mahootian Sh. Language contact and multilingualism in Iran // The Oxford Handbook of Persian Linguistics.  A. Sedighi, P. Shabani-Jadidi (Eds.).  Oxford: Oxford University Press, 2018. Pp. 347-364.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Modarresi Y. Sociolinguistics // The Oxford Handbook of Persian Linguistics. A. Sedighi, P. Shabani-Jadidi (Eds.). Oxford: Oxford University Press, 2018. Pp. 329-346.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Sadeghi K., Richards J. The idea of English in Iran: An example from Urmia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// Journal of Multilingual and Multicultural Development, Volume 37, 2016.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Rezaei S., Tadayyon M. Linguistic landscape in the city of Isfahan in Iran: The representation of languages and identities in Julfa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// Multilingua Journal of Cross-Cultural and Interlanguage Communication Eva Codó, Jürgen Jaspers (Eds.). De Gruyter Mouton 2018, vol. 37, no. 6. pp. 701-721.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Moharami M., Daneshfar S. The impacts of learning English on Iranians’ everyday life: An ethnographic example from Piranshahr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// Issues in Educational Research, 31(4), 2021. Pp. 1156-1174.</w:t>
      </w:r>
    </w:p>
    <w:sectPr>
      <w:pgSz w:h="16834" w:w="11909" w:orient="portrait"/>
      <w:pgMar w:bottom="1133" w:top="1133" w:left="1360" w:right="1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andfonline.com/doi/abs/10.1080/01434632.2015.1080714" TargetMode="External"/><Relationship Id="rId7" Type="http://schemas.openxmlformats.org/officeDocument/2006/relationships/hyperlink" Target="https://www.degruyter.com/document/doi/10.1515/multi-2017-0031/html" TargetMode="External"/><Relationship Id="rId8" Type="http://schemas.openxmlformats.org/officeDocument/2006/relationships/hyperlink" Target="https://www.iier.org.au/iier31/moharami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