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EA" w:rsidRDefault="004A7CB8" w:rsidP="004A7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Пересматрива</w:t>
      </w:r>
      <w:r w:rsidRPr="004A7CB8">
        <w:rPr>
          <w:rFonts w:ascii="Times New Roman" w:hAnsi="Times New Roman" w:cs="Times New Roman"/>
          <w:b/>
          <w:sz w:val="24"/>
        </w:rPr>
        <w:t xml:space="preserve">я концепцию </w:t>
      </w:r>
      <w:r>
        <w:rPr>
          <w:rFonts w:ascii="Times New Roman" w:hAnsi="Times New Roman" w:cs="Times New Roman"/>
          <w:b/>
          <w:sz w:val="24"/>
        </w:rPr>
        <w:t>Б</w:t>
      </w:r>
      <w:r w:rsidRPr="004A7CB8">
        <w:rPr>
          <w:rFonts w:ascii="Times New Roman" w:hAnsi="Times New Roman" w:cs="Times New Roman"/>
          <w:b/>
          <w:sz w:val="24"/>
        </w:rPr>
        <w:t xml:space="preserve">ольшого </w:t>
      </w:r>
      <w:r>
        <w:rPr>
          <w:rFonts w:ascii="Times New Roman" w:hAnsi="Times New Roman" w:cs="Times New Roman"/>
          <w:b/>
          <w:sz w:val="24"/>
        </w:rPr>
        <w:t>Б</w:t>
      </w:r>
      <w:r w:rsidRPr="004A7CB8">
        <w:rPr>
          <w:rFonts w:ascii="Times New Roman" w:hAnsi="Times New Roman" w:cs="Times New Roman"/>
          <w:b/>
          <w:sz w:val="24"/>
        </w:rPr>
        <w:t xml:space="preserve">лижнего </w:t>
      </w:r>
      <w:r>
        <w:rPr>
          <w:rFonts w:ascii="Times New Roman" w:hAnsi="Times New Roman" w:cs="Times New Roman"/>
          <w:b/>
          <w:sz w:val="24"/>
        </w:rPr>
        <w:t>В</w:t>
      </w:r>
      <w:r w:rsidRPr="004A7CB8">
        <w:rPr>
          <w:rFonts w:ascii="Times New Roman" w:hAnsi="Times New Roman" w:cs="Times New Roman"/>
          <w:b/>
          <w:sz w:val="24"/>
        </w:rPr>
        <w:t>остока: закономерности динамики регионального и субрегионального развития</w:t>
      </w:r>
    </w:p>
    <w:p w:rsidR="004A7CB8" w:rsidRDefault="004A7CB8" w:rsidP="004A7C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Мнацаканян Вилен Рафаелович</w:t>
      </w:r>
    </w:p>
    <w:p w:rsidR="004A7CB8" w:rsidRPr="004A7CB8" w:rsidRDefault="004A7CB8" w:rsidP="004A7C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A7CB8">
        <w:rPr>
          <w:rFonts w:ascii="Times New Roman" w:hAnsi="Times New Roman" w:cs="Times New Roman"/>
          <w:i/>
          <w:sz w:val="24"/>
        </w:rPr>
        <w:t>аспирант первого года обучения по направлению “Международная экономика”</w:t>
      </w:r>
    </w:p>
    <w:p w:rsidR="004A7CB8" w:rsidRPr="004A7CB8" w:rsidRDefault="004A7CB8" w:rsidP="004A7C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A7CB8">
        <w:rPr>
          <w:rFonts w:ascii="Times New Roman" w:hAnsi="Times New Roman" w:cs="Times New Roman"/>
          <w:i/>
          <w:sz w:val="24"/>
        </w:rPr>
        <w:t>Российско-Армянский университет</w:t>
      </w:r>
    </w:p>
    <w:p w:rsidR="004A7CB8" w:rsidRPr="004A7CB8" w:rsidRDefault="004A7CB8" w:rsidP="004A7C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A7CB8">
        <w:rPr>
          <w:rFonts w:ascii="Times New Roman" w:hAnsi="Times New Roman" w:cs="Times New Roman"/>
          <w:i/>
          <w:sz w:val="24"/>
        </w:rPr>
        <w:t>Институт экономики и бизнеса, Ерева, Армения</w:t>
      </w:r>
    </w:p>
    <w:p w:rsidR="004A7CB8" w:rsidRDefault="004A7CB8" w:rsidP="004A7C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A7CB8">
        <w:rPr>
          <w:rFonts w:ascii="Times New Roman" w:hAnsi="Times New Roman" w:cs="Times New Roman"/>
          <w:i/>
          <w:sz w:val="24"/>
        </w:rPr>
        <w:t xml:space="preserve">E-mail: </w:t>
      </w:r>
      <w:hyperlink r:id="rId5" w:history="1">
        <w:r w:rsidRPr="00FF33F6">
          <w:rPr>
            <w:rStyle w:val="Hyperlink"/>
            <w:rFonts w:ascii="Times New Roman" w:hAnsi="Times New Roman" w:cs="Times New Roman"/>
            <w:i/>
            <w:sz w:val="24"/>
          </w:rPr>
          <w:t>mnatsakanyanvilen@gmail.com</w:t>
        </w:r>
      </w:hyperlink>
    </w:p>
    <w:p w:rsidR="00B71125" w:rsidRPr="00B71125" w:rsidRDefault="00B71125" w:rsidP="00DE29DA">
      <w:pPr>
        <w:pStyle w:val="NormalWeb"/>
        <w:spacing w:before="0" w:beforeAutospacing="0" w:after="0" w:afterAutospacing="0"/>
        <w:ind w:firstLine="397"/>
        <w:jc w:val="both"/>
        <w:rPr>
          <w:b/>
          <w:szCs w:val="22"/>
        </w:rPr>
      </w:pPr>
      <w:r w:rsidRPr="00B71125">
        <w:rPr>
          <w:b/>
          <w:szCs w:val="22"/>
        </w:rPr>
        <w:t>Введение</w:t>
      </w:r>
    </w:p>
    <w:p w:rsidR="00B71125" w:rsidRPr="00B71125" w:rsidRDefault="00B71125" w:rsidP="00DE29DA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B71125">
        <w:rPr>
          <w:szCs w:val="22"/>
        </w:rPr>
        <w:t>Наряду с видением Большого Ближнего Востока, с его значительным геополитическим, экономическим и культурным значением, концепция этого региона требует тонкого и всестороннего понимания. Хотя его широкая характеристика широко признана, более точное определение имеет решающее значение для эффективного исследования и анализа. Чтобы полностью понять сложность региона, необходимо четко очертить его географические и существенные атрибуты, ответив на ключевые вопросы: что именно определяет этот регион? Каковы его границы? И, возможно, самое главное, каковы критические тенденции, которые формируют его развитие?</w:t>
      </w:r>
    </w:p>
    <w:p w:rsidR="004A7CB8" w:rsidRPr="00964961" w:rsidRDefault="004A7CB8" w:rsidP="00DE29DA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</w:p>
    <w:p w:rsidR="00DE29DA" w:rsidRPr="00DE29DA" w:rsidRDefault="00DE29DA" w:rsidP="00DE29DA">
      <w:pPr>
        <w:pStyle w:val="NormalWeb"/>
        <w:spacing w:before="0" w:beforeAutospacing="0" w:after="0" w:afterAutospacing="0"/>
        <w:ind w:firstLine="397"/>
        <w:jc w:val="both"/>
        <w:rPr>
          <w:b/>
          <w:szCs w:val="22"/>
        </w:rPr>
      </w:pPr>
      <w:r w:rsidRPr="00DE29DA">
        <w:rPr>
          <w:b/>
          <w:szCs w:val="22"/>
        </w:rPr>
        <w:t>Некоторые аспекты термина «Большой Ближний Восток»</w:t>
      </w:r>
    </w:p>
    <w:p w:rsidR="00DE29DA" w:rsidRPr="00DE29DA" w:rsidRDefault="00DE29DA" w:rsidP="00DE29DA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DE29DA">
        <w:rPr>
          <w:szCs w:val="22"/>
        </w:rPr>
        <w:t>Определение географических границ Большого Ближнего Востока является сложным и многогранным начинанием, поскольку его разграничение варьируется в зависимости от контекста, в котором оно применяется. Границы этого региона интерпретируются по-разному в академических, геополитических и культурных дискурсах, отражая его разнообразие и сложность. Однако физические границы являются лишь одним из аспектов определения региона. Политические, исторические и культурные факторы также играют важную роль, усложняя точные гра</w:t>
      </w:r>
      <w:r w:rsidR="00E545D7">
        <w:rPr>
          <w:szCs w:val="22"/>
        </w:rPr>
        <w:t>ницы Большого Ближнего Востока.</w:t>
      </w:r>
    </w:p>
    <w:p w:rsidR="004A7CB8" w:rsidRDefault="00DE29DA" w:rsidP="00DE29DA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DE29DA">
        <w:rPr>
          <w:szCs w:val="22"/>
        </w:rPr>
        <w:t>Хотя такие структуры, как MENA и инициатива «Большой Ближний Восток», подчеркивают стратегическую важность региона, они также выявляют значительные пробелы в охвате его разнообразия, особенно в отношении таких стр</w:t>
      </w:r>
      <w:r w:rsidR="00EE5703">
        <w:rPr>
          <w:szCs w:val="22"/>
        </w:rPr>
        <w:t>ан, как Турция, Израиль и Иран.</w:t>
      </w:r>
    </w:p>
    <w:p w:rsidR="004A7CB8" w:rsidRDefault="00DE29DA" w:rsidP="00DE29DA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DE29DA">
        <w:rPr>
          <w:szCs w:val="22"/>
        </w:rPr>
        <w:t>Можно утверждать, что понятие «Большой Ближний Восток» остается неоднозначным и многозначным, поскольку его восприятие различается в зависимости от подходов международных организаций, академических кругов и отдельных региональных игроков. В контексте международной политики, например, США и Евросоюз часто рассматривают этот термин как область, охватывающую страны Ближнего Востока и Северной Африки, в то время как такие страны, как Иран, Турция и арабские государства, могут трактовать его в более узком или, наоборот, более широком смысле. Это приводит к тому, что существует множество версий и интерпретаций этого понятия, каждая из которых несет в себе исторические, культурные и политические коннотации. За основу понимания данного региона чаще всего берется европоцентристская концепция, которая базируется на геополитических интересах Запада и его представлениях о стратегической важности данных территорий. Такая концепция в определенной степени ограничивает восприятие региона, не принимая во внимание, например, влияние азиатских и центральноазиатских стран, а также роль религиозных и культурных связей, которые существуют между госуда</w:t>
      </w:r>
      <w:r w:rsidR="00EE5703">
        <w:rPr>
          <w:szCs w:val="22"/>
        </w:rPr>
        <w:t>рствами региона и его соседями.</w:t>
      </w:r>
    </w:p>
    <w:p w:rsidR="00E545D7" w:rsidRDefault="00E545D7" w:rsidP="00DE29DA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</w:p>
    <w:p w:rsidR="00E545D7" w:rsidRPr="00E31376" w:rsidRDefault="00E31376" w:rsidP="00DE29DA">
      <w:pPr>
        <w:pStyle w:val="NormalWeb"/>
        <w:spacing w:before="0" w:beforeAutospacing="0" w:after="0" w:afterAutospacing="0"/>
        <w:ind w:firstLine="397"/>
        <w:jc w:val="both"/>
        <w:rPr>
          <w:b/>
          <w:szCs w:val="22"/>
        </w:rPr>
      </w:pPr>
      <w:r w:rsidRPr="00E31376">
        <w:rPr>
          <w:b/>
          <w:szCs w:val="22"/>
        </w:rPr>
        <w:t>Экономика, демография, торговля</w:t>
      </w:r>
    </w:p>
    <w:p w:rsidR="00080559" w:rsidRDefault="00E31376" w:rsidP="00E31376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E31376">
        <w:rPr>
          <w:szCs w:val="22"/>
        </w:rPr>
        <w:t>Несмотря на заметные изменения доли ВВП стран ББВ в мировой экономике, необходимо отметить разный урове</w:t>
      </w:r>
      <w:r w:rsidR="00EE5703">
        <w:rPr>
          <w:szCs w:val="22"/>
        </w:rPr>
        <w:t>нь вклада отдельных регионов [1</w:t>
      </w:r>
      <w:r w:rsidRPr="00E31376">
        <w:rPr>
          <w:szCs w:val="22"/>
        </w:rPr>
        <w:t xml:space="preserve">]. Одним из драйверов экономического развития большинства стран региона стала сырьевая база (нефть и газ), </w:t>
      </w:r>
      <w:r w:rsidRPr="00E31376">
        <w:rPr>
          <w:szCs w:val="22"/>
        </w:rPr>
        <w:lastRenderedPageBreak/>
        <w:t>однако разделение стран по этому признаку на 2 группы — экспортеров нефти и неэкспортеров — неприемлемо, поскольку не учитывает политическую систему, культурные, исторические и религиозные особенности стран. Поэтому важно проанализировать совокупный вклад стран, сгруппированных по регионам на основе заявленных</w:t>
      </w:r>
      <w:r w:rsidR="00080559">
        <w:rPr>
          <w:szCs w:val="22"/>
        </w:rPr>
        <w:t xml:space="preserve"> принципов.</w:t>
      </w:r>
    </w:p>
    <w:p w:rsidR="00E31376" w:rsidRPr="00E31376" w:rsidRDefault="00E31376" w:rsidP="00080559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E31376">
        <w:rPr>
          <w:szCs w:val="22"/>
        </w:rPr>
        <w:t>Другим важным показателем экономических возможностей яв</w:t>
      </w:r>
      <w:r w:rsidR="00080559">
        <w:rPr>
          <w:szCs w:val="22"/>
        </w:rPr>
        <w:t>ляется демографический ландшафт</w:t>
      </w:r>
      <w:r w:rsidR="00D62EA8">
        <w:rPr>
          <w:szCs w:val="22"/>
        </w:rPr>
        <w:t>: в</w:t>
      </w:r>
      <w:r w:rsidRPr="00E31376">
        <w:rPr>
          <w:szCs w:val="22"/>
        </w:rPr>
        <w:t xml:space="preserve"> период с 1960 по 2023 год доля региона в мировом населении заметно у</w:t>
      </w:r>
      <w:r w:rsidR="00080559">
        <w:rPr>
          <w:szCs w:val="22"/>
        </w:rPr>
        <w:t>величилась с 6,48% до 11,48% [1</w:t>
      </w:r>
      <w:r w:rsidRPr="00E31376">
        <w:rPr>
          <w:szCs w:val="22"/>
        </w:rPr>
        <w:t>]. Этот рост подчеркивает глубокий сдвиг в демографическом весе региона с далеко идущим</w:t>
      </w:r>
      <w:r w:rsidR="00080559">
        <w:rPr>
          <w:szCs w:val="22"/>
        </w:rPr>
        <w:t xml:space="preserve">и экономическими последствиями. </w:t>
      </w:r>
      <w:r w:rsidR="00080559" w:rsidRPr="00E31376">
        <w:rPr>
          <w:szCs w:val="22"/>
        </w:rPr>
        <w:t>Большая численность населения увеличивает его представительство и переговорную силу на международных форумах, что позволяет более активно участвовать в формировании глобальной торговли и политических альянсов.</w:t>
      </w:r>
      <w:r w:rsidR="00080559">
        <w:rPr>
          <w:szCs w:val="22"/>
        </w:rPr>
        <w:t xml:space="preserve"> </w:t>
      </w:r>
      <w:r w:rsidRPr="00E31376">
        <w:rPr>
          <w:szCs w:val="22"/>
        </w:rPr>
        <w:t>Однако демографическая экспансия также создает проблемы. Быстрый рост населения требует увеличения инвестиций в социальную инфраструктуру, включая образ</w:t>
      </w:r>
      <w:r w:rsidR="00080559">
        <w:rPr>
          <w:szCs w:val="22"/>
        </w:rPr>
        <w:t>ование, здравоохранение и жилье.</w:t>
      </w:r>
    </w:p>
    <w:p w:rsidR="00E31376" w:rsidRDefault="00E31376" w:rsidP="00E31376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E31376">
        <w:rPr>
          <w:szCs w:val="22"/>
        </w:rPr>
        <w:t xml:space="preserve">Еще одним важным показателем экономических возможностей является динамика торговли. В 1970 году среднее соотношение торговли к ВВП на </w:t>
      </w:r>
      <w:r w:rsidR="00325556">
        <w:rPr>
          <w:szCs w:val="22"/>
        </w:rPr>
        <w:t>ББВ</w:t>
      </w:r>
      <w:r w:rsidRPr="00E31376">
        <w:rPr>
          <w:szCs w:val="22"/>
        </w:rPr>
        <w:t xml:space="preserve"> составляло 48,2%, </w:t>
      </w:r>
      <w:r w:rsidR="00325556">
        <w:rPr>
          <w:szCs w:val="22"/>
        </w:rPr>
        <w:t>а к</w:t>
      </w:r>
      <w:r w:rsidRPr="00E31376">
        <w:rPr>
          <w:szCs w:val="22"/>
        </w:rPr>
        <w:t xml:space="preserve"> 2022 году </w:t>
      </w:r>
      <w:r w:rsidR="00D62EA8">
        <w:rPr>
          <w:szCs w:val="22"/>
        </w:rPr>
        <w:t>оно было</w:t>
      </w:r>
      <w:r w:rsidR="00080559">
        <w:rPr>
          <w:szCs w:val="22"/>
        </w:rPr>
        <w:t xml:space="preserve"> 80,9% [1</w:t>
      </w:r>
      <w:r w:rsidRPr="00E31376">
        <w:rPr>
          <w:szCs w:val="22"/>
        </w:rPr>
        <w:t>], что подчеркивает значительное расширение объема торговли региона по отношению к его экономическому производству. В контексте экспорта и импорта важно также учитывать влияние логистических систем и инициатив региона. Однако логистика региона сталкивается с вызовами, включая политическую нестабильность, военные конфликты и санкции. Эти факторы оказывают давление на устойчивость маршрутов, но страны региона активно инвестируют в модернизацию инфраструктуры для укрепления своих позиций в гл</w:t>
      </w:r>
      <w:r w:rsidR="00080559">
        <w:rPr>
          <w:szCs w:val="22"/>
        </w:rPr>
        <w:t>обальной логистической системе.</w:t>
      </w:r>
    </w:p>
    <w:p w:rsidR="00E545D7" w:rsidRDefault="00E545D7" w:rsidP="00DE29DA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</w:p>
    <w:p w:rsidR="00E545D7" w:rsidRPr="00E545D7" w:rsidRDefault="00E545D7" w:rsidP="00E545D7">
      <w:pPr>
        <w:pStyle w:val="NormalWeb"/>
        <w:spacing w:before="0" w:beforeAutospacing="0" w:after="0" w:afterAutospacing="0"/>
        <w:ind w:firstLine="397"/>
        <w:jc w:val="both"/>
        <w:rPr>
          <w:b/>
          <w:szCs w:val="22"/>
        </w:rPr>
      </w:pPr>
      <w:r w:rsidRPr="00E545D7">
        <w:rPr>
          <w:b/>
          <w:szCs w:val="22"/>
        </w:rPr>
        <w:t>Заключение</w:t>
      </w:r>
    </w:p>
    <w:p w:rsidR="00E545D7" w:rsidRPr="00E545D7" w:rsidRDefault="00E545D7" w:rsidP="00E545D7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E545D7">
        <w:rPr>
          <w:szCs w:val="22"/>
        </w:rPr>
        <w:t>По результатам всего анализа следует отметить, что несмотря на то, что в регионе Большого Ближнего Востока зафиксированы высокие темпы экономического роста, экономическое развитие региона неравномерно: с одной стороны, это обусловлено вопросом источников развития, поскольку ряд стран региона имеют возможность развиваться за счет экспорта энергоносителей, а другие такой возможности не имеют, а с другой стороны, это также обусловлено структурой этих экономик и их внешнеэкономическим со</w:t>
      </w:r>
      <w:r w:rsidR="00325556">
        <w:rPr>
          <w:szCs w:val="22"/>
        </w:rPr>
        <w:t>трудничеством в рамках региона.</w:t>
      </w:r>
    </w:p>
    <w:p w:rsidR="00E545D7" w:rsidRPr="00E545D7" w:rsidRDefault="00E545D7" w:rsidP="00325556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E545D7">
        <w:rPr>
          <w:szCs w:val="22"/>
        </w:rPr>
        <w:t>Также важно отметить восприятие региона как неотъемлемого субъекта внешнеполитических и экономических процессов. Внешние игроки, как страны, так и международные организации, такие как ООН и ее структуры, по-разному воспринимают регион, в зависимости о</w:t>
      </w:r>
      <w:r w:rsidR="00325556">
        <w:rPr>
          <w:szCs w:val="22"/>
        </w:rPr>
        <w:t xml:space="preserve">т целей и видений этих игроков. </w:t>
      </w:r>
      <w:r w:rsidRPr="00E545D7">
        <w:rPr>
          <w:szCs w:val="22"/>
        </w:rPr>
        <w:t>В контексте самовосприятия стран региона Большого Ближнего Востока как целостного региона также необходимо отметить существенные различия: исходя из уровня развития, политических планов и стратегий, а также географического положения и культурно-религиозных аспектов, страны внутри региона по-разному видят границы региона.</w:t>
      </w:r>
    </w:p>
    <w:p w:rsidR="00E545D7" w:rsidRDefault="00E545D7" w:rsidP="00E545D7">
      <w:pPr>
        <w:pStyle w:val="NormalWeb"/>
        <w:spacing w:before="0" w:beforeAutospacing="0" w:after="0" w:afterAutospacing="0"/>
        <w:ind w:firstLine="397"/>
        <w:jc w:val="both"/>
        <w:rPr>
          <w:szCs w:val="22"/>
        </w:rPr>
      </w:pPr>
      <w:r w:rsidRPr="00E545D7">
        <w:rPr>
          <w:szCs w:val="22"/>
        </w:rPr>
        <w:t>Таким образом, можно установить, что регион Большого Ближнего Востока крайне неоднороден по уровню развития, объемам и темпам изменения населения, внешнеэкономическим связям и вовлеченности в интеграционные процессы. В этом контексте изучение всего региона в рамках единых метрик и методов может не дать желаемого результата: как в контексте академических исследований, так и практической разработки внешней политики важно учитывать субрегиональные процессы и явления для более эффективного понимания данного региона.</w:t>
      </w:r>
    </w:p>
    <w:p w:rsidR="004A7CB8" w:rsidRDefault="004A7CB8" w:rsidP="0045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A7CB8" w:rsidRPr="004552DF" w:rsidRDefault="004552DF" w:rsidP="00455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</w:t>
      </w:r>
    </w:p>
    <w:p w:rsidR="004A7CB8" w:rsidRPr="00D62EA8" w:rsidRDefault="004552DF" w:rsidP="004A7CB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52DF">
        <w:rPr>
          <w:rFonts w:ascii="Times New Roman" w:hAnsi="Times New Roman" w:cs="Times New Roman"/>
          <w:sz w:val="24"/>
          <w:szCs w:val="24"/>
        </w:rPr>
        <w:t>World Bank</w:t>
      </w:r>
      <w:r w:rsidR="004A7CB8" w:rsidRPr="004552DF">
        <w:rPr>
          <w:rFonts w:ascii="Times New Roman" w:hAnsi="Times New Roman" w:cs="Times New Roman"/>
          <w:sz w:val="24"/>
          <w:szCs w:val="24"/>
        </w:rPr>
        <w:t xml:space="preserve">. </w:t>
      </w:r>
      <w:r w:rsidR="004A7CB8" w:rsidRPr="004552DF">
        <w:rPr>
          <w:rFonts w:ascii="Times New Roman" w:hAnsi="Times New Roman" w:cs="Times New Roman"/>
          <w:i/>
          <w:iCs/>
          <w:sz w:val="24"/>
          <w:szCs w:val="24"/>
        </w:rPr>
        <w:t>World Bank data</w:t>
      </w:r>
      <w:r w:rsidR="004A7CB8" w:rsidRPr="004552DF">
        <w:rPr>
          <w:rFonts w:ascii="Times New Roman" w:hAnsi="Times New Roman" w:cs="Times New Roman"/>
          <w:sz w:val="24"/>
          <w:szCs w:val="24"/>
        </w:rPr>
        <w:t xml:space="preserve">. The World Bank. </w:t>
      </w:r>
      <w:hyperlink r:id="rId6" w:tgtFrame="_new" w:history="1">
        <w:r w:rsidR="004A7CB8" w:rsidRPr="004552DF">
          <w:rPr>
            <w:rStyle w:val="Hyperlink"/>
            <w:rFonts w:ascii="Times New Roman" w:hAnsi="Times New Roman" w:cs="Times New Roman"/>
            <w:sz w:val="24"/>
            <w:szCs w:val="24"/>
          </w:rPr>
          <w:t>https://data.worldbank.org/</w:t>
        </w:r>
      </w:hyperlink>
      <w:bookmarkStart w:id="0" w:name="_GoBack"/>
      <w:bookmarkEnd w:id="0"/>
    </w:p>
    <w:sectPr w:rsidR="004A7CB8" w:rsidRPr="00D62EA8" w:rsidSect="004A7CB8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807"/>
    <w:multiLevelType w:val="hybridMultilevel"/>
    <w:tmpl w:val="E318C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06011A"/>
    <w:multiLevelType w:val="hybridMultilevel"/>
    <w:tmpl w:val="20604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F3"/>
    <w:rsid w:val="00080559"/>
    <w:rsid w:val="00325556"/>
    <w:rsid w:val="004552DF"/>
    <w:rsid w:val="004A7CB8"/>
    <w:rsid w:val="007668F3"/>
    <w:rsid w:val="00A55EEA"/>
    <w:rsid w:val="00B71125"/>
    <w:rsid w:val="00D62EA8"/>
    <w:rsid w:val="00DE29DA"/>
    <w:rsid w:val="00E31376"/>
    <w:rsid w:val="00E545D7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213A"/>
  <w15:chartTrackingRefBased/>
  <w15:docId w15:val="{E4002512-2560-4C81-A026-EC3F278C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C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worldbank.org/" TargetMode="External"/><Relationship Id="rId5" Type="http://schemas.openxmlformats.org/officeDocument/2006/relationships/hyperlink" Target="mailto:mnatsakanyanvil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Tigranyan</dc:creator>
  <cp:keywords/>
  <dc:description/>
  <cp:lastModifiedBy>Hasmik Tigranyan</cp:lastModifiedBy>
  <cp:revision>12</cp:revision>
  <dcterms:created xsi:type="dcterms:W3CDTF">2025-03-09T14:04:00Z</dcterms:created>
  <dcterms:modified xsi:type="dcterms:W3CDTF">2025-03-09T14:45:00Z</dcterms:modified>
</cp:coreProperties>
</file>