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F191" w14:textId="77777777" w:rsidR="00F82236" w:rsidRPr="00341625" w:rsidRDefault="00000000" w:rsidP="00341625">
      <w:pPr>
        <w:pStyle w:val="a5"/>
        <w:jc w:val="center"/>
        <w:rPr>
          <w:b/>
          <w:bCs/>
          <w:szCs w:val="26"/>
        </w:rPr>
      </w:pPr>
      <w:r w:rsidRPr="00341625">
        <w:rPr>
          <w:b/>
          <w:bCs/>
          <w:szCs w:val="26"/>
        </w:rPr>
        <w:t>Развитие гражданского строительства и недвижимости как фактор усиления двусторонних отношений России и Турции (2000–2024)</w:t>
      </w:r>
    </w:p>
    <w:p w14:paraId="4C2A433B" w14:textId="1DF2F9A9" w:rsidR="00F82236" w:rsidRPr="00341625" w:rsidRDefault="00000000" w:rsidP="00341625">
      <w:pPr>
        <w:pStyle w:val="a5"/>
        <w:jc w:val="center"/>
        <w:rPr>
          <w:b/>
          <w:bCs/>
          <w:i/>
          <w:iCs/>
          <w:szCs w:val="26"/>
        </w:rPr>
      </w:pPr>
      <w:r w:rsidRPr="00341625">
        <w:rPr>
          <w:b/>
          <w:bCs/>
          <w:i/>
          <w:iCs/>
          <w:szCs w:val="26"/>
        </w:rPr>
        <w:t>Цесарская Дарья Максимовна</w:t>
      </w:r>
    </w:p>
    <w:p w14:paraId="0C621C6F" w14:textId="77777777" w:rsidR="00F82236" w:rsidRPr="00341625" w:rsidRDefault="00000000" w:rsidP="0034162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center"/>
        <w:rPr>
          <w:szCs w:val="26"/>
        </w:rPr>
      </w:pPr>
      <w:r w:rsidRPr="00341625">
        <w:rPr>
          <w:i/>
          <w:iCs/>
          <w:szCs w:val="26"/>
        </w:rPr>
        <w:t xml:space="preserve">Студентка 4 курса </w:t>
      </w:r>
      <w:r w:rsidRPr="00341625">
        <w:rPr>
          <w:i/>
          <w:iCs/>
          <w:szCs w:val="26"/>
        </w:rPr>
        <w:br/>
        <w:t>Институт евразийских и межрегиональных исследований РГГУ, Москва, Россия</w:t>
      </w:r>
    </w:p>
    <w:p w14:paraId="705132BC" w14:textId="56313F85" w:rsidR="00341625" w:rsidRPr="00341625" w:rsidRDefault="00000000" w:rsidP="0034162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397"/>
        <w:jc w:val="center"/>
        <w:rPr>
          <w:i/>
          <w:iCs/>
          <w:szCs w:val="26"/>
          <w:lang w:val="fr-FR"/>
        </w:rPr>
      </w:pPr>
      <w:r w:rsidRPr="00341625">
        <w:rPr>
          <w:i/>
          <w:iCs/>
          <w:szCs w:val="26"/>
          <w:lang w:val="fr-FR"/>
        </w:rPr>
        <w:t xml:space="preserve">E-mail: </w:t>
      </w:r>
      <w:hyperlink r:id="rId7" w:history="1">
        <w:r w:rsidR="00341625" w:rsidRPr="00341625">
          <w:rPr>
            <w:rStyle w:val="a3"/>
            <w:i/>
            <w:iCs/>
            <w:szCs w:val="26"/>
            <w:lang w:val="fr-FR"/>
          </w:rPr>
          <w:t>dasha.tsesarskaya@mail.ru</w:t>
        </w:r>
      </w:hyperlink>
    </w:p>
    <w:p w14:paraId="5025FC63" w14:textId="77777777" w:rsidR="00341625" w:rsidRDefault="00341625" w:rsidP="0034162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397"/>
        <w:jc w:val="center"/>
        <w:rPr>
          <w:i/>
          <w:iCs/>
          <w:sz w:val="28"/>
          <w:szCs w:val="28"/>
        </w:rPr>
      </w:pPr>
    </w:p>
    <w:p w14:paraId="080E6F32" w14:textId="6278C8B0" w:rsidR="00341625" w:rsidRDefault="00000000" w:rsidP="0034162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397"/>
        <w:jc w:val="both"/>
        <w:rPr>
          <w:u w:color="404040"/>
        </w:rPr>
      </w:pPr>
      <w:r w:rsidRPr="00341625">
        <w:t>Сотрудничество</w:t>
      </w:r>
      <w:r w:rsidRPr="00341625">
        <w:rPr>
          <w:u w:color="404040"/>
        </w:rPr>
        <w:t xml:space="preserve"> между Россией и Турцией в сфере гражданского строительства и недвижимости имеет длительную и плодотворную историю. Так, дипломатические отношения, установленные Московским договором 1921 года, заложили основу для экономического взаимодействия, однако активное партнёрство в указанных отраслях сформировалось в постсоветский период. В 1990-е годы доля российских инвестиций в турецкую промышленность достигала 12–15% от общего объёма иностранных капиталовложений, что было связано с либерализацией рынков после распада СССР [</w:t>
      </w:r>
      <w:r w:rsidR="00D70CDD">
        <w:rPr>
          <w:u w:color="404040"/>
        </w:rPr>
        <w:t>7</w:t>
      </w:r>
      <w:r w:rsidRPr="00341625">
        <w:rPr>
          <w:u w:color="404040"/>
        </w:rPr>
        <w:t>]. После 2000 года наблюдался спад: объёмы российских инвестиций в строительный сектор Турции сократились на 21% в 2000–2010 гг. и на 17,8% в 2010–2020 гг., что объясняется переориентацией экономик на новые рынки [</w:t>
      </w:r>
      <w:r w:rsidR="00D70CDD">
        <w:rPr>
          <w:u w:color="404040"/>
        </w:rPr>
        <w:t>5</w:t>
      </w:r>
      <w:r w:rsidRPr="00341625">
        <w:rPr>
          <w:u w:color="404040"/>
        </w:rPr>
        <w:t xml:space="preserve">]. Переломным моментом стал 2016 год, когда после кризиса, вызванного инцидентом с российским Су-24, стороны активизировали диалог. </w:t>
      </w:r>
      <w:r w:rsidR="00341625">
        <w:rPr>
          <w:u w:color="404040"/>
        </w:rPr>
        <w:t>Основная задача данной работы – продемонстрировать динамику, с которой развиваются недвижимость и строительство в качестве важных факторов сближения Турции и России.</w:t>
      </w:r>
    </w:p>
    <w:p w14:paraId="1FDF062E" w14:textId="4A1BCAA3" w:rsidR="00341625" w:rsidRDefault="00341625" w:rsidP="0034162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397"/>
        <w:jc w:val="both"/>
        <w:rPr>
          <w:u w:color="404040"/>
        </w:rPr>
      </w:pPr>
      <w:r>
        <w:rPr>
          <w:u w:color="404040"/>
        </w:rPr>
        <w:t xml:space="preserve">В качестве основных источников данного доклада выступили статистические данные, приведенные на сайте </w:t>
      </w:r>
      <w:r>
        <w:rPr>
          <w:u w:color="404040"/>
          <w:lang w:val="tr-TR"/>
        </w:rPr>
        <w:t>TürkStat</w:t>
      </w:r>
      <w:r>
        <w:rPr>
          <w:u w:color="404040"/>
        </w:rPr>
        <w:t xml:space="preserve">, а также официальные данные с сайтов министерства торговли Турецкой Республики и Центрального банка РФ. Все это позволяет фундировано выявить основные закономерности, характерные для рынка недвижимости и двусторонних вопросов, связанных с развитием строительства. </w:t>
      </w:r>
    </w:p>
    <w:p w14:paraId="6BFA3A07" w14:textId="25506F47" w:rsidR="00341625" w:rsidRPr="00D70CDD" w:rsidRDefault="00341625" w:rsidP="0034162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397"/>
        <w:jc w:val="both"/>
        <w:rPr>
          <w:u w:color="404040"/>
        </w:rPr>
      </w:pPr>
      <w:r>
        <w:rPr>
          <w:u w:color="404040"/>
        </w:rPr>
        <w:t>Научных исследований, которы</w:t>
      </w:r>
      <w:r w:rsidR="00D70CDD">
        <w:rPr>
          <w:u w:color="404040"/>
        </w:rPr>
        <w:t xml:space="preserve">е рассматривают проблематику двусторонних отношений через призму рынка недвижимости, практически нет. В отечественной научной литературе имеются работа Э.А. Маркеловой </w:t>
      </w:r>
      <w:r w:rsidR="00D70CDD" w:rsidRPr="00D70CDD">
        <w:rPr>
          <w:u w:color="404040"/>
        </w:rPr>
        <w:t>[</w:t>
      </w:r>
      <w:r w:rsidR="00D70CDD">
        <w:rPr>
          <w:u w:color="404040"/>
        </w:rPr>
        <w:t>4</w:t>
      </w:r>
      <w:r w:rsidR="00D70CDD" w:rsidRPr="00D70CDD">
        <w:rPr>
          <w:u w:color="404040"/>
        </w:rPr>
        <w:t>]</w:t>
      </w:r>
      <w:r w:rsidR="00D70CDD">
        <w:rPr>
          <w:u w:color="404040"/>
        </w:rPr>
        <w:t xml:space="preserve">, посвященная российскому проекту создания международного газового хаба в Турции, исследование А.В. Болдырева об освещении проекта Стамбульского канала в турецких и российских СМИ </w:t>
      </w:r>
      <w:r w:rsidR="00D70CDD" w:rsidRPr="00D70CDD">
        <w:rPr>
          <w:u w:color="404040"/>
        </w:rPr>
        <w:t>[</w:t>
      </w:r>
      <w:r w:rsidR="00D70CDD">
        <w:rPr>
          <w:u w:color="404040"/>
        </w:rPr>
        <w:t>1</w:t>
      </w:r>
      <w:r w:rsidR="00D70CDD" w:rsidRPr="00D70CDD">
        <w:rPr>
          <w:u w:color="404040"/>
        </w:rPr>
        <w:t>]</w:t>
      </w:r>
      <w:r w:rsidR="00D70CDD">
        <w:rPr>
          <w:u w:color="404040"/>
        </w:rPr>
        <w:t xml:space="preserve">, статья К.А. Виноградовой, в которой изучается стратегическое взаимодействие Турции и России при строительстве «Турецкого потока» </w:t>
      </w:r>
      <w:r w:rsidR="00D70CDD" w:rsidRPr="00D70CDD">
        <w:rPr>
          <w:u w:color="404040"/>
        </w:rPr>
        <w:t>[2]</w:t>
      </w:r>
      <w:r w:rsidR="00D70CDD">
        <w:rPr>
          <w:u w:color="404040"/>
        </w:rPr>
        <w:t xml:space="preserve">, однако работы, которая рассматривала именно рынок недвижимости в рамках российско-турецких отношений, как объект исследования, нет. Данный доклад призван заполнить имеющуюся лакуну и рассмотреть то, какая динамика характерна для данного сегмента рынка, начиная с начала </w:t>
      </w:r>
      <w:r w:rsidR="00D70CDD">
        <w:rPr>
          <w:u w:color="404040"/>
          <w:lang w:val="en-US"/>
        </w:rPr>
        <w:t>XXI</w:t>
      </w:r>
      <w:r w:rsidR="00D70CDD" w:rsidRPr="00D70CDD">
        <w:rPr>
          <w:u w:color="404040"/>
        </w:rPr>
        <w:t xml:space="preserve"> </w:t>
      </w:r>
      <w:r w:rsidR="00D70CDD">
        <w:rPr>
          <w:u w:color="404040"/>
        </w:rPr>
        <w:t xml:space="preserve">века. </w:t>
      </w:r>
    </w:p>
    <w:p w14:paraId="6073881B" w14:textId="4AB6BBD5" w:rsidR="00F82236" w:rsidRDefault="00000000" w:rsidP="0034162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ind w:firstLine="397"/>
        <w:jc w:val="both"/>
        <w:rPr>
          <w:u w:color="404040"/>
        </w:rPr>
      </w:pPr>
      <w:r>
        <w:rPr>
          <w:u w:color="404040"/>
        </w:rPr>
        <w:t>Проведённый анализ позволяет очертить контуры перспектив развития отрасли. Увеличение доли турецких компаний в российских инфраструктурных проектах (метро, мосты) вероятно в обмен на технологии в сфере энергоэффективности. Рост спроса россиян на коммерческую недвижимость в Стамбуле и Анталье (прогноз +15% к 2030 г.) будет связан с программой «гражданство за инвестиции». Важным политическим аспектом может стать создание российско-турецкого консорциума для реализации строительных проектов в третьих странах (Африка, Ближний Восток), что снизит зависимость от западных партнёров. Однако риски, включая валютную волатильность и ужесточение регулирования ЦБ РФ, способны замедлить инвестиционные процессы.</w:t>
      </w:r>
      <w:r w:rsidR="00341625" w:rsidRPr="00341625">
        <w:rPr>
          <w:u w:color="404040"/>
        </w:rPr>
        <w:t xml:space="preserve"> </w:t>
      </w:r>
      <w:r w:rsidR="00341625" w:rsidRPr="00341625">
        <w:rPr>
          <w:u w:color="404040"/>
        </w:rPr>
        <w:t>К 2023 году товарооборот достиг $62 млрд, причём 40% турецкого импорта в РФ составили строительные материалы, включая цемент и металлоконструкции [</w:t>
      </w:r>
      <w:r w:rsidR="00D70CDD" w:rsidRPr="00D70CDD">
        <w:rPr>
          <w:u w:color="404040"/>
        </w:rPr>
        <w:t>3</w:t>
      </w:r>
      <w:r w:rsidR="00341625" w:rsidRPr="00341625">
        <w:rPr>
          <w:u w:color="404040"/>
        </w:rPr>
        <w:t>].</w:t>
      </w:r>
      <w:r w:rsidR="00341625">
        <w:rPr>
          <w:u w:color="404040"/>
        </w:rPr>
        <w:t xml:space="preserve"> Следует отметить, что туризм стал катализатором рынка недвижимости: в 2022 году россияне приобрели 24% иностранной собственности в Турции, а прямые рейсы из 23 городов РФ стимулировали развитие прибрежных инфраструктурных кластеров [</w:t>
      </w:r>
      <w:r w:rsidR="00D70CDD" w:rsidRPr="00D70CDD">
        <w:rPr>
          <w:u w:color="404040"/>
        </w:rPr>
        <w:t>6</w:t>
      </w:r>
      <w:r w:rsidR="00341625">
        <w:rPr>
          <w:u w:color="404040"/>
        </w:rPr>
        <w:t xml:space="preserve">]. Сохранение открытого воздушного пространства после 2022 года укрепило статус Турции как транзитного хаба, что </w:t>
      </w:r>
      <w:r w:rsidR="00341625">
        <w:rPr>
          <w:u w:color="404040"/>
        </w:rPr>
        <w:lastRenderedPageBreak/>
        <w:t>способствует росту доверия в бизнес-среде.</w:t>
      </w:r>
      <w:r>
        <w:rPr>
          <w:u w:color="404040"/>
        </w:rPr>
        <w:t xml:space="preserve"> Экономическая взаимозависимость в строительстве и недвижимости, вероятно, смягчит политические разногласия по Сирии и Закавказью, но потребует разработки механизмов арбитража для разрешения споров.</w:t>
      </w:r>
    </w:p>
    <w:p w14:paraId="4B3953A4" w14:textId="6089B171" w:rsidR="00F82236" w:rsidRDefault="00000000">
      <w:pPr>
        <w:pStyle w:val="a5"/>
        <w:ind w:left="567" w:firstLine="709"/>
        <w:jc w:val="both"/>
        <w:rPr>
          <w:u w:color="404040"/>
        </w:rPr>
      </w:pPr>
      <w:r>
        <w:rPr>
          <w:b/>
          <w:bCs/>
          <w:u w:color="404040"/>
        </w:rPr>
        <w:t xml:space="preserve">Список </w:t>
      </w:r>
      <w:r w:rsidR="00341625">
        <w:rPr>
          <w:b/>
          <w:bCs/>
          <w:u w:color="404040"/>
        </w:rPr>
        <w:t xml:space="preserve">источников и </w:t>
      </w:r>
      <w:r>
        <w:rPr>
          <w:b/>
          <w:bCs/>
          <w:u w:color="404040"/>
        </w:rPr>
        <w:t>литературы:</w:t>
      </w:r>
    </w:p>
    <w:p w14:paraId="37A8D613" w14:textId="1660F64A" w:rsidR="00D70CDD" w:rsidRDefault="00D70CDD">
      <w:pPr>
        <w:pStyle w:val="a5"/>
        <w:numPr>
          <w:ilvl w:val="0"/>
          <w:numId w:val="2"/>
        </w:numPr>
        <w:spacing w:before="0" w:after="0"/>
        <w:jc w:val="both"/>
      </w:pPr>
      <w:r w:rsidRPr="00D70CDD">
        <w:rPr>
          <w:i/>
          <w:iCs/>
        </w:rPr>
        <w:t>Болдырев А.</w:t>
      </w:r>
      <w:r>
        <w:rPr>
          <w:i/>
          <w:iCs/>
        </w:rPr>
        <w:t xml:space="preserve"> </w:t>
      </w:r>
      <w:r w:rsidRPr="00D70CDD">
        <w:rPr>
          <w:i/>
          <w:iCs/>
        </w:rPr>
        <w:t>В.</w:t>
      </w:r>
      <w:r w:rsidRPr="00D70CDD">
        <w:t xml:space="preserve"> Проект Стамбульского канала в фокусе российских и турецких публикаций</w:t>
      </w:r>
      <w:r>
        <w:t xml:space="preserve"> //</w:t>
      </w:r>
      <w:r w:rsidRPr="00D70CDD">
        <w:t xml:space="preserve"> Международные процессы.</w:t>
      </w:r>
      <w:r>
        <w:t xml:space="preserve"> –</w:t>
      </w:r>
      <w:r w:rsidRPr="00D70CDD">
        <w:t xml:space="preserve"> 2020</w:t>
      </w:r>
      <w:r>
        <w:t xml:space="preserve"> – № </w:t>
      </w:r>
      <w:r w:rsidRPr="00D70CDD">
        <w:t>18(3)</w:t>
      </w:r>
      <w:r>
        <w:t xml:space="preserve">. – С. </w:t>
      </w:r>
      <w:r w:rsidRPr="00D70CDD">
        <w:t>164</w:t>
      </w:r>
      <w:r>
        <w:t>–</w:t>
      </w:r>
      <w:r w:rsidRPr="00D70CDD">
        <w:t>178.</w:t>
      </w:r>
    </w:p>
    <w:p w14:paraId="25C8280D" w14:textId="00FC62EB" w:rsidR="00D70CDD" w:rsidRDefault="00D70CDD">
      <w:pPr>
        <w:pStyle w:val="a5"/>
        <w:numPr>
          <w:ilvl w:val="0"/>
          <w:numId w:val="2"/>
        </w:numPr>
        <w:spacing w:before="0" w:after="0"/>
        <w:jc w:val="both"/>
      </w:pPr>
      <w:r w:rsidRPr="00D70CDD">
        <w:rPr>
          <w:i/>
          <w:iCs/>
        </w:rPr>
        <w:t>Виноградова К</w:t>
      </w:r>
      <w:r w:rsidRPr="00D70CDD">
        <w:rPr>
          <w:i/>
          <w:iCs/>
        </w:rPr>
        <w:t>.</w:t>
      </w:r>
      <w:r w:rsidRPr="00D70CDD">
        <w:rPr>
          <w:i/>
          <w:iCs/>
        </w:rPr>
        <w:t xml:space="preserve"> А</w:t>
      </w:r>
      <w:r w:rsidRPr="00D70CDD">
        <w:rPr>
          <w:i/>
          <w:iCs/>
        </w:rPr>
        <w:t>.</w:t>
      </w:r>
      <w:r w:rsidRPr="00D70CDD">
        <w:t xml:space="preserve"> Стратегическое взаимодействие России и Турции в рамках строительства «Турецкого потока» // Социально-политические науки.</w:t>
      </w:r>
      <w:r>
        <w:t xml:space="preserve"> –</w:t>
      </w:r>
      <w:r w:rsidRPr="00D70CDD">
        <w:t xml:space="preserve"> 2024.</w:t>
      </w:r>
      <w:r>
        <w:t xml:space="preserve"> –</w:t>
      </w:r>
      <w:r w:rsidRPr="00D70CDD">
        <w:t xml:space="preserve"> №2.</w:t>
      </w:r>
      <w:r>
        <w:t xml:space="preserve"> –</w:t>
      </w:r>
      <w:r w:rsidRPr="00D70CDD">
        <w:t xml:space="preserve"> </w:t>
      </w:r>
      <w:r>
        <w:t>С. 83–89.</w:t>
      </w:r>
    </w:p>
    <w:p w14:paraId="62A08023" w14:textId="23B999C6" w:rsidR="00F82236" w:rsidRPr="00D70CDD" w:rsidRDefault="00000000">
      <w:pPr>
        <w:pStyle w:val="a5"/>
        <w:numPr>
          <w:ilvl w:val="0"/>
          <w:numId w:val="2"/>
        </w:numPr>
        <w:spacing w:before="0" w:after="0"/>
        <w:jc w:val="both"/>
      </w:pPr>
      <w:r>
        <w:rPr>
          <w:u w:color="404040"/>
        </w:rPr>
        <w:t>Внешнеэкономический бюллетень за 2023 год. Министерство торговли Турции. URL: </w:t>
      </w:r>
      <w:hyperlink r:id="rId8" w:history="1">
        <w:r>
          <w:rPr>
            <w:rStyle w:val="Hyperlink1"/>
          </w:rPr>
          <w:t>https://ticaret.gov.tr/istatistikler</w:t>
        </w:r>
      </w:hyperlink>
      <w:r>
        <w:rPr>
          <w:u w:color="404040"/>
        </w:rPr>
        <w:t> (дата обращения: 07.03.2025).</w:t>
      </w:r>
    </w:p>
    <w:p w14:paraId="73B00424" w14:textId="4E61B1C7" w:rsidR="00D70CDD" w:rsidRDefault="00D70CDD">
      <w:pPr>
        <w:pStyle w:val="a5"/>
        <w:numPr>
          <w:ilvl w:val="0"/>
          <w:numId w:val="2"/>
        </w:numPr>
        <w:spacing w:before="0" w:after="0"/>
        <w:jc w:val="both"/>
      </w:pPr>
      <w:r w:rsidRPr="00D70CDD">
        <w:rPr>
          <w:i/>
          <w:iCs/>
        </w:rPr>
        <w:t>Маркелова Э. А.</w:t>
      </w:r>
      <w:r w:rsidRPr="00D70CDD">
        <w:t xml:space="preserve"> Международный газовый хаб в Турции как новый проект российско-турецкого сотрудничества: возможности и риски // Экономика, предпринимательство и право. – 2022. – Т. 12, № 12. – С. </w:t>
      </w:r>
      <w:r w:rsidRPr="00D70CDD">
        <w:t>3501–3511</w:t>
      </w:r>
      <w:r w:rsidRPr="00D70CDD">
        <w:t>.</w:t>
      </w:r>
    </w:p>
    <w:p w14:paraId="19FFBAA9" w14:textId="77777777" w:rsidR="00D70CDD" w:rsidRPr="00D70CDD" w:rsidRDefault="00D70CDD" w:rsidP="00D70CDD">
      <w:pPr>
        <w:pStyle w:val="a5"/>
        <w:numPr>
          <w:ilvl w:val="0"/>
          <w:numId w:val="2"/>
        </w:numPr>
        <w:spacing w:before="0" w:after="0"/>
        <w:jc w:val="both"/>
      </w:pPr>
      <w:r>
        <w:rPr>
          <w:u w:color="404040"/>
        </w:rPr>
        <w:t>Отчёт о внешних инвестициях за 2021 год. Центральный банк РФ. URL: </w:t>
      </w:r>
      <w:hyperlink r:id="rId9" w:history="1">
        <w:r>
          <w:rPr>
            <w:rStyle w:val="Hyperlink1"/>
          </w:rPr>
          <w:t>https://cbr.ru/statistics/macro_itm/svs/</w:t>
        </w:r>
      </w:hyperlink>
      <w:r>
        <w:rPr>
          <w:u w:color="404040"/>
        </w:rPr>
        <w:t> (дата обращения: 07.03.2025).</w:t>
      </w:r>
    </w:p>
    <w:p w14:paraId="1920A73E" w14:textId="32E1DD49" w:rsidR="00F82236" w:rsidRPr="00D70CDD" w:rsidRDefault="00000000">
      <w:pPr>
        <w:pStyle w:val="a5"/>
        <w:numPr>
          <w:ilvl w:val="0"/>
          <w:numId w:val="2"/>
        </w:numPr>
        <w:spacing w:before="0" w:after="0"/>
        <w:jc w:val="both"/>
      </w:pPr>
      <w:r>
        <w:rPr>
          <w:u w:color="404040"/>
        </w:rPr>
        <w:t>Рынок недвижимости Турции: отчет за 2023 год. TurkStat. URL: </w:t>
      </w:r>
      <w:hyperlink r:id="rId10" w:history="1">
        <w:r>
          <w:rPr>
            <w:rStyle w:val="Hyperlink1"/>
          </w:rPr>
          <w:t>https://tuik.gov.tr/real-estate</w:t>
        </w:r>
      </w:hyperlink>
      <w:r>
        <w:rPr>
          <w:u w:color="404040"/>
        </w:rPr>
        <w:t> (дата обращения: 07.03.2025).</w:t>
      </w:r>
    </w:p>
    <w:p w14:paraId="5B326E6D" w14:textId="77777777" w:rsidR="00D70CDD" w:rsidRPr="00D70CDD" w:rsidRDefault="00D70CDD" w:rsidP="00D70CDD">
      <w:pPr>
        <w:pStyle w:val="a5"/>
        <w:numPr>
          <w:ilvl w:val="0"/>
          <w:numId w:val="2"/>
        </w:numPr>
        <w:spacing w:before="0" w:after="0"/>
        <w:jc w:val="both"/>
        <w:rPr>
          <w:lang w:val="en-US"/>
        </w:rPr>
      </w:pPr>
      <w:r>
        <w:rPr>
          <w:u w:color="404040"/>
          <w:lang w:val="en-US"/>
        </w:rPr>
        <w:t>World Investment Report 1999. UNCTAD. URL</w:t>
      </w:r>
      <w:r w:rsidRPr="00D70CDD">
        <w:rPr>
          <w:u w:color="404040"/>
          <w:lang w:val="en-US"/>
        </w:rPr>
        <w:t>:</w:t>
      </w:r>
      <w:r>
        <w:rPr>
          <w:u w:color="404040"/>
          <w:lang w:val="en-US"/>
        </w:rPr>
        <w:t> </w:t>
      </w:r>
      <w:hyperlink r:id="rId11" w:history="1">
        <w:r>
          <w:rPr>
            <w:rStyle w:val="Hyperlink0"/>
          </w:rPr>
          <w:t>https</w:t>
        </w:r>
        <w:r w:rsidRPr="00D70CDD">
          <w:rPr>
            <w:rStyle w:val="Hyperlink0"/>
          </w:rPr>
          <w:t>://</w:t>
        </w:r>
        <w:r>
          <w:rPr>
            <w:rStyle w:val="Hyperlink0"/>
          </w:rPr>
          <w:t>unctad</w:t>
        </w:r>
        <w:r w:rsidRPr="00D70CDD">
          <w:rPr>
            <w:rStyle w:val="Hyperlink0"/>
          </w:rPr>
          <w:t>.</w:t>
        </w:r>
        <w:r>
          <w:rPr>
            <w:rStyle w:val="Hyperlink0"/>
          </w:rPr>
          <w:t>org</w:t>
        </w:r>
        <w:r w:rsidRPr="00D70CDD">
          <w:rPr>
            <w:rStyle w:val="Hyperlink0"/>
          </w:rPr>
          <w:t>/</w:t>
        </w:r>
        <w:r>
          <w:rPr>
            <w:rStyle w:val="Hyperlink0"/>
          </w:rPr>
          <w:t>publication</w:t>
        </w:r>
        <w:r w:rsidRPr="00D70CDD">
          <w:rPr>
            <w:rStyle w:val="Hyperlink0"/>
          </w:rPr>
          <w:t>/</w:t>
        </w:r>
        <w:r>
          <w:rPr>
            <w:rStyle w:val="Hyperlink0"/>
          </w:rPr>
          <w:t>world</w:t>
        </w:r>
        <w:r w:rsidRPr="00D70CDD">
          <w:rPr>
            <w:rStyle w:val="Hyperlink0"/>
          </w:rPr>
          <w:t>-</w:t>
        </w:r>
        <w:r>
          <w:rPr>
            <w:rStyle w:val="Hyperlink0"/>
          </w:rPr>
          <w:t>investment</w:t>
        </w:r>
        <w:r w:rsidRPr="00D70CDD">
          <w:rPr>
            <w:rStyle w:val="Hyperlink0"/>
          </w:rPr>
          <w:t>-</w:t>
        </w:r>
        <w:r>
          <w:rPr>
            <w:rStyle w:val="Hyperlink0"/>
          </w:rPr>
          <w:t>report</w:t>
        </w:r>
        <w:r w:rsidRPr="00D70CDD">
          <w:rPr>
            <w:rStyle w:val="Hyperlink0"/>
          </w:rPr>
          <w:t>-1999</w:t>
        </w:r>
      </w:hyperlink>
      <w:r>
        <w:rPr>
          <w:u w:color="404040"/>
          <w:lang w:val="en-US"/>
        </w:rPr>
        <w:t> </w:t>
      </w:r>
      <w:r w:rsidRPr="00D70CDD">
        <w:rPr>
          <w:u w:color="404040"/>
          <w:lang w:val="en-US"/>
        </w:rPr>
        <w:t>(</w:t>
      </w:r>
      <w:r>
        <w:rPr>
          <w:u w:color="404040"/>
        </w:rPr>
        <w:t>дата</w:t>
      </w:r>
      <w:r w:rsidRPr="00D70CDD">
        <w:rPr>
          <w:u w:color="404040"/>
          <w:lang w:val="en-US"/>
        </w:rPr>
        <w:t xml:space="preserve"> </w:t>
      </w:r>
      <w:r>
        <w:rPr>
          <w:u w:color="404040"/>
        </w:rPr>
        <w:t>обращения</w:t>
      </w:r>
      <w:r w:rsidRPr="00D70CDD">
        <w:rPr>
          <w:u w:color="404040"/>
          <w:lang w:val="en-US"/>
        </w:rPr>
        <w:t>: 07.03.2025).</w:t>
      </w:r>
    </w:p>
    <w:p w14:paraId="7861CE40" w14:textId="77777777" w:rsidR="00D70CDD" w:rsidRPr="00D70CDD" w:rsidRDefault="00D70CDD" w:rsidP="00D70CDD">
      <w:pPr>
        <w:pStyle w:val="a5"/>
        <w:tabs>
          <w:tab w:val="left" w:pos="720"/>
        </w:tabs>
        <w:spacing w:before="0" w:after="0"/>
        <w:jc w:val="both"/>
        <w:rPr>
          <w:lang w:val="en-US"/>
        </w:rPr>
      </w:pPr>
    </w:p>
    <w:sectPr w:rsidR="00D70CDD" w:rsidRPr="00D70CDD">
      <w:headerReference w:type="default" r:id="rId12"/>
      <w:footerReference w:type="default" r:id="rId13"/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C6A12" w14:textId="77777777" w:rsidR="00DD35F3" w:rsidRDefault="00DD35F3">
      <w:r>
        <w:separator/>
      </w:r>
    </w:p>
  </w:endnote>
  <w:endnote w:type="continuationSeparator" w:id="0">
    <w:p w14:paraId="00D91CE3" w14:textId="77777777" w:rsidR="00DD35F3" w:rsidRDefault="00DD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1515" w14:textId="77777777" w:rsidR="00F82236" w:rsidRDefault="00F822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3DA4" w14:textId="77777777" w:rsidR="00DD35F3" w:rsidRDefault="00DD35F3">
      <w:r>
        <w:separator/>
      </w:r>
    </w:p>
  </w:footnote>
  <w:footnote w:type="continuationSeparator" w:id="0">
    <w:p w14:paraId="0B946A31" w14:textId="77777777" w:rsidR="00DD35F3" w:rsidRDefault="00DD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94AA" w14:textId="77777777" w:rsidR="00F82236" w:rsidRDefault="00F82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A4EEC"/>
    <w:multiLevelType w:val="hybridMultilevel"/>
    <w:tmpl w:val="9EEA2038"/>
    <w:numStyleLink w:val="1"/>
  </w:abstractNum>
  <w:abstractNum w:abstractNumId="1" w15:restartNumberingAfterBreak="0">
    <w:nsid w:val="68F6765E"/>
    <w:multiLevelType w:val="hybridMultilevel"/>
    <w:tmpl w:val="9EEA2038"/>
    <w:styleLink w:val="1"/>
    <w:lvl w:ilvl="0" w:tplc="62CCA67E">
      <w:start w:val="1"/>
      <w:numFmt w:val="decimal"/>
      <w:suff w:val="nothing"/>
      <w:lvlText w:val="%1."/>
      <w:lvlJc w:val="left"/>
      <w:pPr>
        <w:tabs>
          <w:tab w:val="left" w:pos="720"/>
        </w:tabs>
        <w:ind w:left="567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C4C64">
      <w:start w:val="1"/>
      <w:numFmt w:val="decimal"/>
      <w:lvlText w:val="%2."/>
      <w:lvlJc w:val="left"/>
      <w:pPr>
        <w:tabs>
          <w:tab w:val="left" w:pos="720"/>
          <w:tab w:val="num" w:pos="2136"/>
        </w:tabs>
        <w:ind w:left="1287" w:firstLine="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4CE98">
      <w:start w:val="1"/>
      <w:numFmt w:val="decimal"/>
      <w:lvlText w:val="%3."/>
      <w:lvlJc w:val="left"/>
      <w:pPr>
        <w:tabs>
          <w:tab w:val="left" w:pos="720"/>
          <w:tab w:val="num" w:pos="2856"/>
        </w:tabs>
        <w:ind w:left="2007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A2E2A">
      <w:start w:val="1"/>
      <w:numFmt w:val="decimal"/>
      <w:lvlText w:val="%4."/>
      <w:lvlJc w:val="left"/>
      <w:pPr>
        <w:tabs>
          <w:tab w:val="left" w:pos="720"/>
          <w:tab w:val="num" w:pos="3576"/>
        </w:tabs>
        <w:ind w:left="2727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4663E">
      <w:start w:val="1"/>
      <w:numFmt w:val="decimal"/>
      <w:lvlText w:val="%5."/>
      <w:lvlJc w:val="left"/>
      <w:pPr>
        <w:tabs>
          <w:tab w:val="left" w:pos="720"/>
          <w:tab w:val="num" w:pos="4296"/>
        </w:tabs>
        <w:ind w:left="3447" w:firstLine="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C5F20">
      <w:start w:val="1"/>
      <w:numFmt w:val="decimal"/>
      <w:lvlText w:val="%6."/>
      <w:lvlJc w:val="left"/>
      <w:pPr>
        <w:tabs>
          <w:tab w:val="left" w:pos="720"/>
          <w:tab w:val="num" w:pos="5016"/>
        </w:tabs>
        <w:ind w:left="4167" w:firstLine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0DF82">
      <w:start w:val="1"/>
      <w:numFmt w:val="decimal"/>
      <w:lvlText w:val="%7."/>
      <w:lvlJc w:val="left"/>
      <w:pPr>
        <w:tabs>
          <w:tab w:val="left" w:pos="720"/>
          <w:tab w:val="num" w:pos="5736"/>
        </w:tabs>
        <w:ind w:left="4887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C8824">
      <w:start w:val="1"/>
      <w:numFmt w:val="decimal"/>
      <w:lvlText w:val="%8."/>
      <w:lvlJc w:val="left"/>
      <w:pPr>
        <w:tabs>
          <w:tab w:val="left" w:pos="720"/>
          <w:tab w:val="num" w:pos="6456"/>
        </w:tabs>
        <w:ind w:left="5607" w:firstLine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41B18">
      <w:start w:val="1"/>
      <w:numFmt w:val="decimal"/>
      <w:lvlText w:val="%9."/>
      <w:lvlJc w:val="left"/>
      <w:pPr>
        <w:tabs>
          <w:tab w:val="left" w:pos="720"/>
          <w:tab w:val="num" w:pos="7176"/>
        </w:tabs>
        <w:ind w:left="6327" w:firstLine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45059051">
    <w:abstractNumId w:val="1"/>
  </w:num>
  <w:num w:numId="2" w16cid:durableId="64674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36"/>
    <w:rsid w:val="00341625"/>
    <w:rsid w:val="00580E1B"/>
    <w:rsid w:val="00D70CDD"/>
    <w:rsid w:val="00DD35F3"/>
    <w:rsid w:val="00F8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9DE9"/>
  <w15:docId w15:val="{BE865A52-D383-4359-9C26-76FCC038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00"/>
      <w:u w:val="single" w:color="0000FF"/>
      <w:lang w:val="en-US"/>
    </w:rPr>
  </w:style>
  <w:style w:type="character" w:customStyle="1" w:styleId="Hyperlink1">
    <w:name w:val="Hyperlink.1"/>
    <w:basedOn w:val="a6"/>
    <w:rPr>
      <w:color w:val="000000"/>
      <w:u w:val="single" w:color="0000FF"/>
    </w:rPr>
  </w:style>
  <w:style w:type="character" w:customStyle="1" w:styleId="Hyperlink2">
    <w:name w:val="Hyperlink.2"/>
    <w:basedOn w:val="a6"/>
    <w:rPr>
      <w:color w:val="000000"/>
      <w:u w:val="single" w:color="0000FF"/>
      <w:lang w:val="ru-RU"/>
    </w:rPr>
  </w:style>
  <w:style w:type="character" w:styleId="a7">
    <w:name w:val="Unresolved Mention"/>
    <w:basedOn w:val="a0"/>
    <w:uiPriority w:val="99"/>
    <w:semiHidden/>
    <w:unhideWhenUsed/>
    <w:rsid w:val="00341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gov.tr/istatistikl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sha.tsesarskaya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ctad.org/publication/world-investment-report-199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uik.gov.tr/real-es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r.ru/statistics/macro_itm/sv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Lyulchak</cp:lastModifiedBy>
  <cp:revision>2</cp:revision>
  <dcterms:created xsi:type="dcterms:W3CDTF">2025-03-09T20:07:00Z</dcterms:created>
  <dcterms:modified xsi:type="dcterms:W3CDTF">2025-03-09T20:25:00Z</dcterms:modified>
</cp:coreProperties>
</file>