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pStyle w:val="Normal"/>
        <w:jc w:val="center"/>
        <w:rPr>
          <w:b/>
          <w:bCs/>
        </w:rPr>
      </w:pPr>
      <w:r>
        <w:rPr>
          <w:b/>
          <w:bCs/>
          <w:lang w:val="ru-RU"/>
        </w:rPr>
        <w:t xml:space="preserve">К вопросу об исчислении национального дохода </w:t>
      </w:r>
    </w:p>
    <w:p w14:paraId="00000002">
      <w:pPr>
        <w:pStyle w:val="Normal"/>
        <w:jc w:val="center"/>
        <w:rPr>
          <w:b/>
          <w:bCs/>
          <w:i/>
          <w:iCs/>
        </w:rPr>
      </w:pPr>
      <w:r>
        <w:rPr>
          <w:b/>
          <w:bCs/>
          <w:i/>
          <w:iCs/>
          <w:lang w:val="ru-RU"/>
        </w:rPr>
        <w:t>Колчин Виктор Андреевич</w:t>
      </w:r>
    </w:p>
    <w:p w14:paraId="00000003">
      <w:pPr>
        <w:pStyle w:val="Normal"/>
        <w:jc w:val="center"/>
        <w:rPr>
          <w:b w:val="off"/>
          <w:bCs w:val="off"/>
          <w:i/>
          <w:iCs/>
        </w:rPr>
      </w:pPr>
      <w:r>
        <w:rPr>
          <w:b w:val="off"/>
          <w:bCs w:val="off"/>
          <w:i/>
          <w:iCs/>
          <w:lang w:val="ru-RU"/>
        </w:rPr>
        <w:t>студент 4-го курса</w:t>
      </w:r>
    </w:p>
    <w:p w14:paraId="00000004">
      <w:pPr>
        <w:pStyle w:val="Normal"/>
        <w:jc w:val="center"/>
        <w:rPr>
          <w:b w:val="off"/>
          <w:bCs w:val="off"/>
          <w:i/>
          <w:iCs/>
        </w:rPr>
      </w:pPr>
      <w:r>
        <w:rPr>
          <w:b w:val="off"/>
          <w:bCs w:val="off"/>
          <w:i/>
          <w:iCs/>
          <w:lang w:val="ru-RU"/>
        </w:rPr>
        <w:t>Московский государственный университет имени М.В. Ломоносова,</w:t>
      </w:r>
    </w:p>
    <w:p w14:paraId="00000005">
      <w:pPr>
        <w:pStyle w:val="Normal"/>
        <w:jc w:val="center"/>
        <w:rPr>
          <w:b w:val="off"/>
          <w:bCs w:val="off"/>
          <w:i/>
          <w:iCs/>
        </w:rPr>
      </w:pPr>
      <w:r>
        <w:rPr>
          <w:b w:val="off"/>
          <w:bCs w:val="off"/>
          <w:i/>
          <w:iCs/>
          <w:lang w:val="ru-RU"/>
        </w:rPr>
        <w:t>Институт стран Азии и Африки, Москва, Россия</w:t>
      </w:r>
    </w:p>
    <w:p w14:paraId="00000006">
      <w:pPr>
        <w:pStyle w:val="Normal"/>
        <w:jc w:val="center"/>
        <w:rPr>
          <w:b w:val="off"/>
          <w:bCs w:val="off"/>
          <w:i/>
          <w:iCs/>
        </w:rPr>
      </w:pPr>
      <w:r>
        <w:rPr>
          <w:b w:val="off"/>
          <w:bCs w:val="off"/>
          <w:i/>
          <w:iCs/>
          <w:lang w:val="en-US"/>
        </w:rPr>
        <w:t>E-mail:</w:t>
      </w:r>
      <w:r>
        <w:rPr>
          <w:b w:val="off"/>
          <w:bCs w:val="off"/>
          <w:i/>
          <w:iCs/>
          <w:u w:val="none"/>
          <w:lang w:val="en-US"/>
        </w:rPr>
        <w:t xml:space="preserve"> </w:t>
      </w:r>
      <w:r>
        <w:fldChar w:fldCharType="begin"/>
      </w:r>
      <w:r>
        <w:instrText xml:space="preserve">HYPERLINK "mailto:viktork903@mail.ru"</w:instrText>
      </w:r>
      <w:r>
        <w:fldChar w:fldCharType="separate"/>
      </w:r>
      <w:r>
        <w:rPr>
          <w:i/>
          <w:iCs/>
          <w:u w:val="none"/>
          <w:lang w:val="en-US"/>
        </w:rPr>
        <w:t>viktork903@mail.ru</w:t>
      </w:r>
      <w:r>
        <w:fldChar w:fldCharType="end"/>
      </w:r>
    </w:p>
    <w:p w14:paraId="00000007">
      <w:pPr>
        <w:pStyle w:val="Normal"/>
        <w:jc w:val="center"/>
        <w:rPr>
          <w:b w:val="off"/>
          <w:bCs w:val="off"/>
          <w:i/>
          <w:iCs/>
        </w:rPr>
      </w:pPr>
    </w:p>
    <w:p w14:paraId="00000008">
      <w:pPr>
        <w:pStyle w:val="Normal"/>
        <w:ind w:firstLine="559"/>
        <w:jc w:val="both"/>
        <w:rPr>
          <w:b w:val="off"/>
          <w:bCs w:val="off"/>
          <w:i w:val="off"/>
          <w:iCs w:val="off"/>
        </w:rPr>
      </w:pPr>
      <w:r>
        <w:rPr>
          <w:b w:val="off"/>
          <w:bCs w:val="off"/>
          <w:i w:val="off"/>
          <w:iCs w:val="off"/>
          <w:lang w:val="ru-RU"/>
        </w:rPr>
        <w:t>В настоящее время ВВП, являющийся базовым макроэкономическим показателем, подвергается критике за то, что он, якобы, некорректно отражает уровень экономических успехов. Например, структура ВВП не всегда позволяет сделать адекватный вывод о материально-техническом развитии менее развитых стран и образе жизни их граждан. В 2022 г. доля сельского хозяйства в ВВП Судана составляла 5%, однако для ее производства потребовался труд 39,8% занятых [1]. В Марокко доля сельского хозяйства в ВВП - 9,8%, а занято в этой сфере - 29,3% работающего населения [1]. Имеются вопросы и к “содержанию” ВВП. Так, при подсчете ВВП производство домохозяйств для собственных нужд</w:t>
      </w:r>
      <w:r>
        <w:rPr>
          <w:b w:val="off"/>
          <w:bCs w:val="off"/>
          <w:i w:val="off"/>
          <w:iCs w:val="off"/>
          <w:lang w:val="ru-RU"/>
        </w:rPr>
        <w:t xml:space="preserve"> (например, приготовление пищи, уборка) </w:t>
      </w:r>
      <w:r>
        <w:rPr>
          <w:b w:val="off"/>
          <w:bCs w:val="off"/>
          <w:i w:val="off"/>
          <w:iCs w:val="off"/>
          <w:lang w:val="ru-RU"/>
        </w:rPr>
        <w:t>не учитывается</w:t>
      </w:r>
      <w:r>
        <w:rPr>
          <w:b w:val="off"/>
          <w:bCs w:val="off"/>
          <w:i w:val="off"/>
          <w:iCs w:val="off"/>
          <w:lang w:val="ru-RU"/>
        </w:rPr>
        <w:t xml:space="preserve"> [2]. Если же для выполнения этих работ будет нанят специально обученный человек, то вклад в ВВП последует. Результат различен, хотя по сути совершается одна и та же операция.</w:t>
      </w:r>
    </w:p>
    <w:p w14:paraId="00000009">
      <w:pPr>
        <w:pStyle w:val="Normal"/>
        <w:ind w:firstLine="559"/>
        <w:jc w:val="both"/>
        <w:rPr>
          <w:b w:val="off"/>
          <w:bCs w:val="off"/>
          <w:i w:val="off"/>
          <w:iCs w:val="off"/>
          <w:lang w:val="ru-RU"/>
        </w:rPr>
      </w:pPr>
      <w:r>
        <w:rPr>
          <w:b w:val="off"/>
          <w:bCs w:val="off"/>
          <w:i w:val="off"/>
          <w:iCs w:val="off"/>
          <w:lang w:val="ru-RU"/>
        </w:rPr>
        <w:t xml:space="preserve">Эти и другие вопросы поднимают проблему определения границы сферы производства [3] - разделения </w:t>
      </w:r>
      <w:r>
        <w:rPr>
          <w:b w:val="off"/>
          <w:bCs w:val="off"/>
          <w:i w:val="off"/>
          <w:iCs w:val="off"/>
          <w:lang w:val="ru-RU"/>
        </w:rPr>
        <w:t xml:space="preserve">”производительных” и “непроизводительных” видов деятельности (т.е. разделения </w:t>
      </w:r>
      <w:r>
        <w:rPr>
          <w:b w:val="off"/>
          <w:bCs w:val="off"/>
          <w:i w:val="off"/>
          <w:iCs w:val="off"/>
          <w:lang w:val="ru-RU"/>
        </w:rPr>
        <w:t>того, что учитывается при подсчете национального дохода, а что - нет)</w:t>
      </w:r>
      <w:r>
        <w:rPr>
          <w:b w:val="off"/>
          <w:bCs w:val="off"/>
          <w:i w:val="off"/>
          <w:iCs w:val="off"/>
          <w:lang w:val="ru-RU"/>
        </w:rPr>
        <w:t>. Данная проблема представляется особенно важной в свете оценки уровня экономического развития менее развитых стран Ближнего Востока.</w:t>
      </w:r>
    </w:p>
    <w:p w14:paraId="0000000A">
      <w:pPr>
        <w:pStyle w:val="Normal"/>
        <w:ind w:firstLine="559"/>
        <w:jc w:val="both"/>
        <w:rPr>
          <w:b w:val="off"/>
          <w:bCs w:val="off"/>
          <w:i w:val="off"/>
          <w:iCs w:val="off"/>
          <w:lang w:val="ru-RU"/>
        </w:rPr>
      </w:pPr>
      <w:r>
        <w:rPr>
          <w:b w:val="off"/>
          <w:bCs w:val="off"/>
          <w:i w:val="off"/>
          <w:iCs w:val="off"/>
          <w:lang w:val="ru-RU"/>
        </w:rPr>
        <w:t>В данном докладе ретроспективно рассматриваются несколько наиболее ярких концепций производительного и непроизводительного труда.</w:t>
      </w:r>
    </w:p>
    <w:p w14:paraId="0000000B">
      <w:pPr>
        <w:pStyle w:val="Normal"/>
        <w:ind w:firstLine="559"/>
        <w:jc w:val="both"/>
        <w:rPr>
          <w:b w:val="off"/>
          <w:bCs w:val="off"/>
          <w:i w:val="off"/>
          <w:iCs w:val="off"/>
        </w:rPr>
      </w:pPr>
      <w:r>
        <w:rPr>
          <w:b w:val="off"/>
          <w:bCs w:val="off"/>
          <w:i w:val="off"/>
          <w:iCs w:val="off"/>
          <w:lang w:val="ru-RU"/>
        </w:rPr>
        <w:t>Для физиократа Франсуа Кэне</w:t>
      </w:r>
      <w:r>
        <w:rPr>
          <w:b w:val="off"/>
          <w:bCs w:val="off"/>
          <w:i w:val="off"/>
          <w:iCs w:val="off"/>
          <w:lang w:val="ru-RU"/>
        </w:rPr>
        <w:t xml:space="preserve"> [4] </w:t>
      </w:r>
      <w:r>
        <w:rPr>
          <w:b w:val="off"/>
          <w:bCs w:val="off"/>
          <w:i w:val="off"/>
          <w:iCs w:val="off"/>
          <w:lang w:val="ru-RU"/>
        </w:rPr>
        <w:t>производительным является любой труд, связанный с сельским хозяйством. Путем обработки земли производительный класс воспроизводит богатство нации. Бесплодный класс образуют люди, выполняющие все прочие занятия. Над этими двумя классами стоит класс собственников (государь и землевладельцы), которые перераспределяют произведенные богатства.</w:t>
      </w:r>
    </w:p>
    <w:p w14:paraId="0000000C">
      <w:pPr>
        <w:pStyle w:val="Normal"/>
        <w:ind w:firstLine="559"/>
        <w:jc w:val="both"/>
        <w:rPr>
          <w:b w:val="off"/>
          <w:bCs w:val="off"/>
          <w:i w:val="off"/>
          <w:iCs w:val="off"/>
        </w:rPr>
      </w:pPr>
      <w:r>
        <w:rPr>
          <w:b w:val="off"/>
          <w:bCs w:val="off"/>
          <w:i w:val="off"/>
          <w:iCs w:val="off"/>
          <w:lang w:val="ru-RU"/>
        </w:rPr>
        <w:t>Адам Смит [5] считает производительным любой труд, который создает некоторую стоимость. Этот труд закрепляется в некотором предмете, который затем существует некоторое время и пригоден для продажи. Непроизводительным является труд, который не создает стоимости и чьи услуги исчезают в момент их оказания. Производительным является труд рабочего мануфактуры, непроизводительным - труд домашнего слуги.</w:t>
      </w:r>
    </w:p>
    <w:p w14:paraId="0000000D">
      <w:pPr>
        <w:pStyle w:val="Normal"/>
        <w:ind w:firstLine="559"/>
        <w:jc w:val="both"/>
        <w:rPr>
          <w:b w:val="off"/>
          <w:bCs w:val="off"/>
          <w:i w:val="off"/>
          <w:iCs w:val="off"/>
        </w:rPr>
      </w:pPr>
      <w:r>
        <w:rPr>
          <w:b w:val="off"/>
          <w:bCs w:val="off"/>
          <w:i w:val="off"/>
          <w:iCs w:val="off"/>
          <w:lang w:val="ru-RU"/>
        </w:rPr>
        <w:t>С точки зрения Анри Сен-Симона [6, 7] производительным является тот труд, который приносит пользу обществу. Таковым заняты промышленники - земледельцы, фабриканты и торговцы. Результатами их труда пользуются паразиты - аристократы и властители.</w:t>
      </w:r>
    </w:p>
    <w:p w14:paraId="0000000E">
      <w:pPr>
        <w:pStyle w:val="Normal"/>
        <w:ind w:firstLine="574"/>
        <w:jc w:val="both"/>
        <w:rPr>
          <w:b w:val="off"/>
          <w:bCs w:val="off"/>
          <w:i w:val="off"/>
          <w:iCs w:val="off"/>
        </w:rPr>
      </w:pPr>
      <w:r>
        <w:rPr>
          <w:b w:val="off"/>
          <w:bCs w:val="off"/>
          <w:i w:val="off"/>
          <w:iCs w:val="off"/>
          <w:lang w:val="ru-RU"/>
        </w:rPr>
        <w:t>По Карлу Марксу [8], в рамках капиталистической системы производительным является такой труд, который производит прибавочную стоимость и создает свой продукт в качестве капитала. Итогом такой деятельности должно стать появление какой-либо потребительной стоимости, а ее может иметь только товар, поэтому производительным может считаться только труд, выражающий себя в товаре. При выполнении услуг деньги не становятся капиталом, а перестают существовать в качестве меновой стоимости. Существует и товаропроизводители, деятельность которых не подчинена капиталистическому способу производства, - это крестьяне и ремесленники.</w:t>
      </w:r>
    </w:p>
    <w:p w14:paraId="0000000F">
      <w:pPr>
        <w:pStyle w:val="Normal"/>
        <w:ind w:firstLine="559"/>
        <w:jc w:val="both"/>
        <w:rPr>
          <w:b w:val="off"/>
          <w:bCs w:val="off"/>
          <w:i w:val="off"/>
          <w:iCs w:val="off"/>
        </w:rPr>
      </w:pPr>
      <w:r>
        <w:rPr>
          <w:b w:val="off"/>
          <w:bCs w:val="off"/>
          <w:i w:val="off"/>
          <w:iCs w:val="off"/>
          <w:lang w:val="ru-RU"/>
        </w:rPr>
        <w:t>Саймон Кузнец [9], чей подход лежит сегодня в основании расчета ВВП, относит к производительным те отрасли, которые увеличивают поток обмениваемых на рынке благ. Не являются производительными виды деятельности, которые перераспределяют произведения прошлого и которые запрещены законом.</w:t>
      </w:r>
    </w:p>
    <w:p w14:paraId="00000010">
      <w:pPr>
        <w:pStyle w:val="Normal"/>
        <w:ind w:firstLine="544"/>
        <w:jc w:val="both"/>
        <w:rPr>
          <w:b w:val="off"/>
          <w:bCs w:val="off"/>
          <w:i w:val="off"/>
          <w:iCs w:val="off"/>
        </w:rPr>
      </w:pPr>
      <w:r>
        <w:rPr>
          <w:b w:val="off"/>
          <w:bCs w:val="off"/>
          <w:i w:val="off"/>
          <w:iCs w:val="off"/>
          <w:lang w:val="ru-RU"/>
        </w:rPr>
        <w:t>Дэвид Гребер выделяет феномен “бредовой работы” [10], которая является непроизводительным трудом. Он призывает ориентироваться на оценку своей деятельности самим занятым. “Бредовой” является работа по найму, исчезновение которой никто бы не заметил. Она настолько бессмысленна, что даже человек, который выполняет ее каждый день, убежден, что эта работа не должна существовать, хотя и делает вид, что это не так. Все прочие разновидности занятости, даже такие непривычные сегодня, как деятельность короля, паши и ленлорда, по Греберу, не относятся к “бредовой работе” и являются производительным трудом.</w:t>
      </w:r>
    </w:p>
    <w:p w14:paraId="00000011">
      <w:pPr>
        <w:pStyle w:val="Normal"/>
        <w:ind w:firstLine="559"/>
        <w:jc w:val="both"/>
        <w:rPr>
          <w:b w:val="off"/>
          <w:bCs w:val="off"/>
          <w:i w:val="off"/>
          <w:iCs w:val="off"/>
        </w:rPr>
      </w:pPr>
      <w:r>
        <w:rPr>
          <w:b w:val="off"/>
          <w:bCs w:val="off"/>
          <w:i w:val="off"/>
          <w:iCs w:val="off"/>
          <w:lang w:val="ru-RU"/>
        </w:rPr>
        <w:t>Таким образом, граница сферы производства, от определения который зависит расчет ВВП, является подвижным понятием. Каждый исследователь по-своему, исходя из своих жизненных установок и реалий окружающего мира, понимает “производительный” и “непроизводительный” труд. Соответственно, меняется и перечень отраслей, учитываемых в ВВП. Хотелось бы заметить, что отнюдь не обязательно выделять в экономике только “производительные” и “непроизводительные” отрасли и тем самым противопоставлять их. Можно рассмотреть и некую третью сущность, как это в свое время сделали Карл Маркс и Франсуа Кэне. Возможно, отнесение к этой сущности деятельности, связанной с производством для собственных нужд, снимет возникающие сегодня при оценке экономических успехов стран противоречия.</w:t>
      </w:r>
    </w:p>
    <w:p w14:paraId="00000012">
      <w:pPr>
        <w:pStyle w:val="Normal"/>
        <w:jc w:val="center"/>
        <w:rPr>
          <w:b w:val="off"/>
          <w:bCs w:val="off"/>
          <w:i/>
          <w:iCs/>
        </w:rPr>
      </w:pPr>
    </w:p>
    <w:p w14:paraId="00000013">
      <w:pPr>
        <w:pStyle w:val="Normal"/>
        <w:jc w:val="center"/>
        <w:rPr>
          <w:b/>
          <w:bCs/>
          <w:i w:val="off"/>
          <w:iCs w:val="off"/>
        </w:rPr>
      </w:pPr>
      <w:r>
        <w:rPr>
          <w:b/>
          <w:bCs/>
          <w:i w:val="off"/>
          <w:iCs w:val="off"/>
          <w:lang w:val="ru-RU"/>
        </w:rPr>
        <w:t>Литература:</w:t>
      </w:r>
    </w:p>
    <w:p w14:paraId="00000014">
      <w:pPr>
        <w:pStyle w:val="Normal"/>
        <w:numPr>
          <w:ilvl w:val="0"/>
          <w:numId w:val="1"/>
        </w:numPr>
        <w:bidi w:val="off"/>
        <w:ind w:left="-12" w:firstLine="412"/>
        <w:jc w:val="left"/>
        <w:rPr>
          <w:b w:val="off"/>
          <w:bCs w:val="off"/>
          <w:lang w:val="ru-RU"/>
        </w:rPr>
      </w:pPr>
      <w:r>
        <w:fldChar w:fldCharType="begin"/>
      </w:r>
      <w:r>
        <w:instrText xml:space="preserve">HYPERLINK "https://databank.worldbank.org/source/world-development-indicators" \l</w:instrText>
      </w:r>
      <w:r>
        <w:fldChar w:fldCharType="separate"/>
      </w:r>
      <w:r>
        <w:rPr>
          <w:rStyle w:val="Hyperlink"/>
          <w:b w:val="off"/>
          <w:bCs w:val="off"/>
          <w:lang w:val="ru-RU"/>
        </w:rPr>
        <w:t>https://databank.worldbank.org/source/world-development-indicators#</w:t>
      </w:r>
      <w:r>
        <w:fldChar w:fldCharType="end"/>
      </w:r>
    </w:p>
    <w:p w14:paraId="00000015">
      <w:pPr>
        <w:pStyle w:val="Normal"/>
        <w:numPr>
          <w:ilvl w:val="0"/>
          <w:numId w:val="1"/>
        </w:numPr>
        <w:bidi w:val="off"/>
        <w:ind w:left="-12" w:firstLine="412"/>
        <w:jc w:val="left"/>
        <w:rPr>
          <w:b w:val="off"/>
          <w:bCs w:val="off"/>
        </w:rPr>
      </w:pPr>
      <w:r>
        <w:rPr>
          <w:b w:val="off"/>
          <w:bCs w:val="off"/>
          <w:lang w:val="ru-RU"/>
        </w:rPr>
        <w:t>Д. Койл. ВВП: Краткая история, рассказанная с пиететом [Текст] / пер. с англ. А. Гусева; под науч. ред. А. Смирнова; Нац. исслед. ун-т. “Высшая школа экономики”. - М.: Изд. дом Высшей школы экономики, 2016. - 176 с.</w:t>
      </w:r>
    </w:p>
    <w:p w14:paraId="00000016">
      <w:pPr>
        <w:pStyle w:val="Normal"/>
        <w:numPr>
          <w:ilvl w:val="0"/>
          <w:numId w:val="1"/>
        </w:numPr>
        <w:bidi w:val="off"/>
        <w:ind w:left="15" w:firstLine="397"/>
        <w:jc w:val="left"/>
        <w:rPr>
          <w:b w:val="off"/>
          <w:bCs w:val="off"/>
        </w:rPr>
      </w:pPr>
      <w:r>
        <w:rPr>
          <w:b w:val="off"/>
          <w:bCs w:val="off"/>
          <w:lang w:val="ru-RU"/>
        </w:rPr>
        <w:t>П. Студенский. Доход наций (теория, измерение и анализ: прошлое и настоящее) / перевод с английского В.М. Кудрова; под редакцией и со вступительной статьей Альб. Л. Вайнштейна. - М.: “Статистика”, 1968. - 709 с.</w:t>
      </w:r>
    </w:p>
    <w:p w14:paraId="00000017">
      <w:pPr>
        <w:pStyle w:val="Normal"/>
        <w:numPr>
          <w:ilvl w:val="0"/>
          <w:numId w:val="1"/>
        </w:numPr>
        <w:bidi w:val="off"/>
        <w:ind w:left="-11" w:firstLine="437"/>
        <w:jc w:val="left"/>
        <w:rPr>
          <w:b w:val="off"/>
          <w:bCs w:val="off"/>
        </w:rPr>
      </w:pPr>
      <w:r>
        <w:rPr>
          <w:b w:val="off"/>
          <w:bCs w:val="off"/>
          <w:lang w:val="ru-RU"/>
        </w:rPr>
        <w:t>Ф. Кэне, А.Р.Ж. Тюрго, П.С. Дюпон де Немур. Физиократы. Избранные экономические произведение [предисл. П.Н. Клюкин; пер. с франц., англ., нем.] - М.: Эксмо, 2008. - с. 45-482.</w:t>
      </w:r>
    </w:p>
    <w:p w14:paraId="00000018">
      <w:pPr>
        <w:pStyle w:val="Normal"/>
        <w:numPr>
          <w:ilvl w:val="0"/>
          <w:numId w:val="1"/>
        </w:numPr>
        <w:bidi w:val="off"/>
        <w:ind w:left="2" w:firstLine="424"/>
        <w:jc w:val="left"/>
        <w:rPr>
          <w:b w:val="off"/>
          <w:bCs w:val="off"/>
        </w:rPr>
      </w:pPr>
      <w:r>
        <w:rPr>
          <w:b w:val="off"/>
          <w:bCs w:val="off"/>
          <w:lang w:val="ru-RU"/>
        </w:rPr>
        <w:t>А. Смит. Исследование о природе и причинах богатства народов [перевод с английского]. - Москва: Издательство  АСТ, 2023. - с. 364-387.</w:t>
      </w:r>
    </w:p>
    <w:p w14:paraId="00000019">
      <w:pPr>
        <w:pStyle w:val="Normal"/>
        <w:numPr>
          <w:ilvl w:val="0"/>
          <w:numId w:val="1"/>
        </w:numPr>
        <w:bidi w:val="off"/>
        <w:ind w:left="2" w:firstLine="412"/>
        <w:jc w:val="left"/>
        <w:rPr>
          <w:b w:val="off"/>
          <w:bCs w:val="off"/>
        </w:rPr>
      </w:pPr>
      <w:r>
        <w:rPr>
          <w:b w:val="off"/>
          <w:bCs w:val="off"/>
          <w:lang w:val="ru-RU"/>
        </w:rPr>
        <w:t xml:space="preserve">Сен-Симон. Избранные сочинения. Том </w:t>
      </w:r>
      <w:r>
        <w:rPr>
          <w:b w:val="off"/>
          <w:bCs w:val="off"/>
          <w:lang w:val="en-US"/>
        </w:rPr>
        <w:t>I [</w:t>
      </w:r>
      <w:r>
        <w:rPr>
          <w:b w:val="off"/>
          <w:bCs w:val="off"/>
          <w:lang w:val="ru-RU"/>
        </w:rPr>
        <w:t>перевод с французского под редакцией и с комментариями Л.С, Цетлина, вступительная статья В.П. Волгина</w:t>
      </w:r>
      <w:r>
        <w:rPr>
          <w:b w:val="off"/>
          <w:bCs w:val="off"/>
          <w:lang w:val="en-US"/>
        </w:rPr>
        <w:t xml:space="preserve">]. - </w:t>
      </w:r>
      <w:r>
        <w:rPr>
          <w:b w:val="off"/>
          <w:bCs w:val="off"/>
          <w:lang w:val="ru-RU"/>
        </w:rPr>
        <w:t>Москва-Ленинград: Издательство Академии наук СССР. - с. 428- 453.</w:t>
      </w:r>
    </w:p>
    <w:p w14:paraId="0000001A">
      <w:pPr>
        <w:pStyle w:val="Normal"/>
        <w:numPr>
          <w:ilvl w:val="0"/>
          <w:numId w:val="1"/>
        </w:numPr>
        <w:bidi w:val="off"/>
        <w:ind w:left="14" w:firstLine="412"/>
        <w:jc w:val="left"/>
        <w:rPr>
          <w:b w:val="off"/>
          <w:bCs w:val="off"/>
        </w:rPr>
      </w:pPr>
      <w:r>
        <w:rPr>
          <w:b w:val="off"/>
          <w:bCs w:val="off"/>
          <w:lang w:val="ru-RU"/>
        </w:rPr>
        <w:t xml:space="preserve">Сен-Симон. Избранные сочинения. Том </w:t>
      </w:r>
      <w:r>
        <w:rPr>
          <w:b w:val="off"/>
          <w:bCs w:val="off"/>
          <w:lang w:val="en-US"/>
        </w:rPr>
        <w:t>II [</w:t>
      </w:r>
      <w:r>
        <w:rPr>
          <w:b w:val="off"/>
          <w:bCs w:val="off"/>
          <w:lang w:val="ru-RU"/>
        </w:rPr>
        <w:t>перевод с французского под редакцией и с комментариями Л.С. Цетлина, вступительная статья В.П. Волгина</w:t>
      </w:r>
      <w:r>
        <w:rPr>
          <w:b w:val="off"/>
          <w:bCs w:val="off"/>
          <w:lang w:val="en-US"/>
        </w:rPr>
        <w:t xml:space="preserve">]. - </w:t>
      </w:r>
      <w:r>
        <w:rPr>
          <w:b w:val="off"/>
          <w:bCs w:val="off"/>
          <w:lang w:val="ru-RU"/>
        </w:rPr>
        <w:t>Москва-Ленинград: Издательство Академии наук СССР. - с. 121-273.</w:t>
      </w:r>
    </w:p>
    <w:p w14:paraId="0000001B">
      <w:pPr>
        <w:pStyle w:val="Normal"/>
        <w:numPr>
          <w:ilvl w:val="0"/>
          <w:numId w:val="1"/>
        </w:numPr>
        <w:bidi w:val="off"/>
        <w:ind w:left="2" w:firstLine="411"/>
        <w:jc w:val="left"/>
        <w:rPr>
          <w:b w:val="off"/>
          <w:bCs w:val="off"/>
        </w:rPr>
      </w:pPr>
      <w:r>
        <w:rPr>
          <w:b w:val="off"/>
          <w:bCs w:val="off"/>
          <w:lang w:val="ru-RU"/>
        </w:rPr>
        <w:t>К. Маркс. Теории прибавочной стоимости. (4-й том “Капитала”). Ч.1. - М., Политиздат, 1978. - с. 393 - 423.</w:t>
      </w:r>
    </w:p>
    <w:p w14:paraId="0000001C">
      <w:pPr>
        <w:pStyle w:val="Normal"/>
        <w:numPr>
          <w:ilvl w:val="0"/>
          <w:numId w:val="1"/>
        </w:numPr>
        <w:bidi w:val="off"/>
        <w:ind w:left="2" w:firstLine="424"/>
        <w:jc w:val="left"/>
        <w:rPr>
          <w:b w:val="off"/>
          <w:bCs w:val="off"/>
        </w:rPr>
      </w:pPr>
      <w:r>
        <w:rPr>
          <w:b w:val="off"/>
          <w:bCs w:val="off"/>
          <w:lang w:val="en-US"/>
        </w:rPr>
        <w:t>Simon Kuznets. National Income and Its Composition, 1919-1938. Volume I. National Bureau of Economic Research. New York. 1941. - p. 3-61.</w:t>
      </w:r>
    </w:p>
    <w:p w14:paraId="0000001D">
      <w:pPr>
        <w:pStyle w:val="Normal"/>
        <w:numPr>
          <w:ilvl w:val="0"/>
          <w:numId w:val="1"/>
        </w:numPr>
        <w:bidi w:val="off"/>
        <w:ind w:left="2" w:firstLine="412"/>
        <w:jc w:val="left"/>
        <w:rPr>
          <w:b w:val="off"/>
          <w:bCs w:val="off"/>
        </w:rPr>
      </w:pPr>
      <w:r>
        <w:rPr>
          <w:b w:val="off"/>
          <w:bCs w:val="off"/>
          <w:lang w:val="ru-RU"/>
        </w:rPr>
        <w:t xml:space="preserve"> Д. Гребер. Бредовая работа. Трактат о распространении бессмысленного труда. - М.: Ад Маргинем Пресс, 2020. - 440 с.</w:t>
      </w:r>
    </w:p>
    <w:p w14:paraId="0000001E">
      <w:pPr>
        <w:pStyle w:val="Normal"/>
        <w:bidi w:val="off"/>
        <w:ind w:right="0"/>
        <w:jc w:val="left"/>
        <w:rPr>
          <w:b w:val="off"/>
          <w:bCs w:val="off"/>
        </w:rPr>
      </w:pPr>
    </w:p>
    <w:p w14:paraId="0000001F">
      <w:pPr>
        <w:pStyle w:val="Normal"/>
        <w:jc w:val="left"/>
        <w:rPr>
          <w:b w:val="off"/>
          <w:bCs w:val="off"/>
          <w:i w:val="off"/>
          <w:iCs w:val="off"/>
        </w:rPr>
      </w:pPr>
    </w:p>
    <w:sectPr>
      <w:footnotePr/>
      <w:type w:val="nextPage"/>
      <w:pgSz w:w="11906" w:h="16838" w:orient="portrait"/>
      <w:pgMar w:top="1134" w:right="1361" w:bottom="1134" w:left="1361"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1551" w:hanging="360"/>
      </w:pPr>
    </w:lvl>
    <w:lvl w:ilvl="1" w:tentative="1">
      <w:start w:val="1"/>
      <w:numFmt w:val="lowerLetter"/>
      <w:isLgl w:val="off"/>
      <w:suff w:val="tab"/>
      <w:lvlText w:val="%2."/>
      <w:lvlJc w:val="left"/>
      <w:pPr>
        <w:ind w:left="2271" w:hanging="360"/>
      </w:pPr>
    </w:lvl>
    <w:lvl w:ilvl="2" w:tentative="1">
      <w:start w:val="1"/>
      <w:numFmt w:val="lowerRoman"/>
      <w:isLgl w:val="off"/>
      <w:suff w:val="tab"/>
      <w:lvlText w:val="%3."/>
      <w:lvlJc w:val="right"/>
      <w:pPr>
        <w:ind w:left="2992" w:hanging="360"/>
      </w:pPr>
    </w:lvl>
    <w:lvl w:ilvl="3" w:tentative="1">
      <w:start w:val="1"/>
      <w:numFmt w:val="decimal"/>
      <w:isLgl w:val="off"/>
      <w:suff w:val="tab"/>
      <w:lvlText w:val="%4."/>
      <w:lvlJc w:val="left"/>
      <w:pPr>
        <w:ind w:left="3712" w:hanging="360"/>
      </w:pPr>
    </w:lvl>
    <w:lvl w:ilvl="4" w:tentative="1">
      <w:start w:val="1"/>
      <w:numFmt w:val="lowerLetter"/>
      <w:isLgl w:val="off"/>
      <w:suff w:val="tab"/>
      <w:lvlText w:val="%5."/>
      <w:lvlJc w:val="left"/>
      <w:pPr>
        <w:ind w:left="4432" w:hanging="360"/>
      </w:pPr>
    </w:lvl>
    <w:lvl w:ilvl="5" w:tentative="1">
      <w:start w:val="1"/>
      <w:numFmt w:val="lowerRoman"/>
      <w:isLgl w:val="off"/>
      <w:suff w:val="tab"/>
      <w:lvlText w:val="%6."/>
      <w:lvlJc w:val="right"/>
      <w:pPr>
        <w:ind w:left="5152" w:hanging="360"/>
      </w:pPr>
    </w:lvl>
    <w:lvl w:ilvl="6" w:tentative="1">
      <w:start w:val="1"/>
      <w:numFmt w:val="decimal"/>
      <w:isLgl w:val="off"/>
      <w:suff w:val="tab"/>
      <w:lvlText w:val="%7."/>
      <w:lvlJc w:val="left"/>
      <w:pPr>
        <w:ind w:left="5872" w:hanging="360"/>
      </w:pPr>
    </w:lvl>
    <w:lvl w:ilvl="7" w:tentative="1">
      <w:start w:val="1"/>
      <w:numFmt w:val="lowerLetter"/>
      <w:isLgl w:val="off"/>
      <w:suff w:val="tab"/>
      <w:lvlText w:val="%8."/>
      <w:lvlJc w:val="left"/>
      <w:pPr>
        <w:ind w:left="6592" w:hanging="360"/>
      </w:pPr>
    </w:lvl>
    <w:lvl w:ilvl="8" w:tentative="1">
      <w:start w:val="1"/>
      <w:numFmt w:val="lowerRoman"/>
      <w:isLgl w:val="off"/>
      <w:suff w:val="tab"/>
      <w:lvlText w:val="%9."/>
      <w:lvlJc w:val="right"/>
      <w:pPr>
        <w:ind w:left="731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2"/>
        <w:szCs w:val="22"/>
      </w:rPr>
    </w:rPrDefault>
    <w:pPrDefault>
      <w:pPr>
        <w:spacing w:after="200" w:line="276" w:lineRule="auto"/>
      </w:pPr>
    </w:pPrDefault>
  </w:docDefaults>
  <w:style w:type="paragraph" w:default="1" w:styleId="Normal">
    <w:name w:val="Normal"/>
    <w:uiPriority w:val="0"/>
    <w:qFormat w:val="on"/>
    <w:pPr>
      <w:spacing w:after="0" w:line="240"/>
      <w:jc w:val="both"/>
    </w:pPr>
    <w:rPr>
      <w:sz w:val="24"/>
      <w:szCs w:val="24"/>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Колчин</dc:creator>
  <cp:lastModifiedBy>Виктор Колчин</cp:lastModifiedBy>
</cp:coreProperties>
</file>