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6F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GoBack"/>
      <w:bookmarkEnd w:id="1"/>
      <w:r>
        <w:rPr>
          <w:rFonts w:asciiTheme="majorBidi" w:hAnsiTheme="majorBidi" w:cstheme="majorBidi"/>
          <w:b/>
          <w:bCs/>
          <w:sz w:val="24"/>
          <w:szCs w:val="24"/>
        </w:rPr>
        <w:t>Марокко на этапе энергетического перехода: развитие добывающей промышленности</w:t>
      </w:r>
    </w:p>
    <w:p w14:paraId="1742B6C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Лобанова Ольга Александровна</w:t>
      </w:r>
    </w:p>
    <w:p w14:paraId="7569EA05">
      <w:pPr>
        <w:pStyle w:val="8"/>
        <w:spacing w:before="30" w:beforeAutospacing="0" w:after="0" w:afterAutospacing="0" w:line="276" w:lineRule="auto"/>
        <w:jc w:val="center"/>
      </w:pPr>
      <w:r>
        <w:rPr>
          <w:i/>
          <w:iCs/>
          <w:color w:val="000000"/>
          <w:shd w:val="clear" w:color="auto" w:fill="FFFFFF"/>
        </w:rPr>
        <w:t>Студент</w:t>
      </w:r>
    </w:p>
    <w:p w14:paraId="7B43BC7D">
      <w:pPr>
        <w:pStyle w:val="8"/>
        <w:spacing w:before="30" w:beforeAutospacing="0" w:after="0" w:afterAutospacing="0" w:line="276" w:lineRule="auto"/>
        <w:jc w:val="center"/>
      </w:pPr>
      <w:r>
        <w:rPr>
          <w:i/>
          <w:iCs/>
          <w:color w:val="333333"/>
          <w:shd w:val="clear" w:color="auto" w:fill="FFFFFF"/>
        </w:rPr>
        <w:t xml:space="preserve">Московский государственный университет имени М.В.Ломоносова, </w:t>
      </w:r>
    </w:p>
    <w:p w14:paraId="70A30D28">
      <w:pPr>
        <w:pStyle w:val="8"/>
        <w:spacing w:before="30" w:beforeAutospacing="0" w:after="0" w:afterAutospacing="0" w:line="276" w:lineRule="auto"/>
        <w:jc w:val="center"/>
      </w:pPr>
      <w:r>
        <w:rPr>
          <w:i/>
          <w:iCs/>
          <w:color w:val="333333"/>
          <w:shd w:val="clear" w:color="auto" w:fill="FFFFFF"/>
        </w:rPr>
        <w:t>Институт стран Азии и Африки, Москва, Россия</w:t>
      </w:r>
    </w:p>
    <w:p w14:paraId="3A3C9A36">
      <w:pPr>
        <w:pStyle w:val="8"/>
        <w:spacing w:before="30" w:beforeAutospacing="0" w:after="0" w:afterAutospacing="0" w:line="276" w:lineRule="auto"/>
        <w:jc w:val="center"/>
      </w:pPr>
      <w:r>
        <w:rPr>
          <w:i/>
          <w:iCs/>
          <w:color w:val="333333"/>
          <w:shd w:val="clear" w:color="auto" w:fill="FFFFFF"/>
        </w:rPr>
        <w:t xml:space="preserve">E-mail: </w:t>
      </w:r>
      <w:r>
        <w:rPr>
          <w:i/>
          <w:iCs/>
          <w:color w:val="333333"/>
          <w:shd w:val="clear" w:color="auto" w:fill="FFFFFF"/>
          <w:lang w:val="en-US"/>
        </w:rPr>
        <w:t>lobanovaoa</w:t>
      </w:r>
      <w:r>
        <w:rPr>
          <w:i/>
          <w:iCs/>
          <w:color w:val="333333"/>
          <w:shd w:val="clear" w:color="auto" w:fill="FFFFFF"/>
        </w:rPr>
        <w:t>64@</w:t>
      </w:r>
      <w:r>
        <w:rPr>
          <w:i/>
          <w:iCs/>
          <w:color w:val="333333"/>
          <w:shd w:val="clear" w:color="auto" w:fill="FFFFFF"/>
          <w:lang w:val="en-US"/>
        </w:rPr>
        <w:t>yandex</w:t>
      </w:r>
      <w:r>
        <w:rPr>
          <w:i/>
          <w:iCs/>
          <w:color w:val="333333"/>
          <w:shd w:val="clear" w:color="auto" w:fill="FFFFFF"/>
        </w:rPr>
        <w:t>.</w:t>
      </w:r>
      <w:r>
        <w:rPr>
          <w:i/>
          <w:iCs/>
          <w:color w:val="333333"/>
          <w:shd w:val="clear" w:color="auto" w:fill="FFFFFF"/>
          <w:lang w:val="en-US"/>
        </w:rPr>
        <w:t>ru</w:t>
      </w:r>
    </w:p>
    <w:p w14:paraId="59620727">
      <w:pPr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sz w:val="24"/>
          <w:szCs w:val="24"/>
          <w:lang w:eastAsia="ru-RU"/>
        </w:rPr>
      </w:pPr>
    </w:p>
    <w:p w14:paraId="028E7029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Марокко находится на пути масштабной трансформации, переориентируясь на возобновляемые источники энергии путем расширения сектора электромобильности. В этой связи Марокко располагает уникальными возможностями для диверсификации своей экономики, ключевым драйвером которой должно стать развитие добывающей промышленности. </w:t>
      </w:r>
    </w:p>
    <w:p w14:paraId="2F354471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Основным конкурентным преимуществом Марокко являются значительные запасы критически важных полезных ископаемых, необходимых для производства аккумуляторов. Горнодобывающий сектор страны составляет 10% ВВП [1], при этом  до 90% – приходится на фосфаты. Именно фосфаты играют определяющую роль в производстве литий-железо-фосфатных (LFP) аккумуляторов. Эти аккумуляторы привлекают внимание таких гигантов, как Tesla, Renault и Volkswagen Group, благодаря сочетанию безопасности, долговечности и экономической эффективности.</w:t>
      </w:r>
    </w:p>
    <w:p w14:paraId="7A1A8D00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Основная цель Марокко – занять лидирующие позиции в глобальной цепочке поставок в сфере электромобильности путем масштабного развития добывающей промышленности и создания полного цикла производства аккумуляторов. Для этого страна планирует:</w:t>
      </w:r>
    </w:p>
    <w:p w14:paraId="67A040B1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Существенно увеличить объемы добычи и переработки фосфатного сырья. Инвестиции в модернизацию и расширение существующих рудников, а также разработку новых месторождений, позволят Марокко удовлетворить растущий спрос на фосфаты для производства LFP-аккумуляторов.</w:t>
      </w:r>
    </w:p>
    <w:p w14:paraId="09DEC4B5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Создать современную инфраструктуру для переработки фосфатов в материалы для аккумуляторов. Строительство новых заводов по производству катодных материалов, электролита и других компонентов позволит Марокко перейти от экспорта сырья к экспорту продукции с высокой добавленной стоимостью.</w:t>
      </w:r>
    </w:p>
    <w:p w14:paraId="73C57B5D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Развивать научно-исследовательскую базу для разработки новых технологий добычи и переработки полезных ископаемых. Поддержка научных исследований и разработок позволит Марокко повысить эффективность добычи и переработки фосфатов, а также снизить воздействие на окружающую среду.</w:t>
      </w:r>
    </w:p>
    <w:p w14:paraId="47F4DC57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Выгодное географическое положение Марокко и его близость к европейским рынкам усиливают его потенциал как поставщика сырья и продукции для аккумуляторной промышленности. Геополитическая конкуренция с Китаем в сфере контроля над цепочками поставок, а также возрастающие требования к экологической и социальной ответственности бизнеса, заставляют западных производителей электромобилей искать надежных и территориально близких партнеров. В свете директивы Европейской комиссии о прекращении продаж автомобилей с двигателями внутреннего сгорания к 2035 году [2], спрос на электромобили и аккумуляторы в Европе будет только расти.</w:t>
      </w:r>
    </w:p>
    <w:p w14:paraId="6BC70EA0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Сотрудничество с Демократической Республикой Конго (ДРК), обладающей крупнейшими в мире запасами кобальта, откроет для Марокко дополнительные возможности для укрепления своих позиций в аккумуляторной промышленности. Заключение соглашений о стратегическом партнерстве с ДРК позволит Марокко обеспечить стабильные поставки кобальта, необходимого для производства никель-марганец-кобальтовых (NMC) аккумуляторов, которые также востребованы на рынке электромобилей. Это позволит Марокко стать ключевым поставщиком как LFP, так и NMC аккумуляторов, полностью охватив рынок двигателей для электромобилей.</w:t>
      </w:r>
    </w:p>
    <w:p w14:paraId="4E890B28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Марокко также активно привлекает иностранных производителей автомобилей, создавая благоприятные условия для размещения производственных мощностей в стране. Предоставление налоговых льгот, упрощение административных процедур и развитие инфраструктуры делают Марокко привлекательным местом для инвестиций в автомобильную промышленность. Компании Renault и Stellantis (Peugeot) уже имеют заводы в Марокко, и страна намерена привлечь других крупных игроков, чтобы производить электромобили и компоненты для них.</w:t>
      </w:r>
    </w:p>
    <w:p w14:paraId="7A7DE142">
      <w:pPr>
        <w:ind w:firstLine="39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образом, Марокко рассматривает развитие добывающей промышленности в качестве ключевого элемента стратегии энергетического перехода и укрепления своих позиций в мировой экономике. Благодаря сочетанию богатых запасов полезных ископаемых, выгодного географического положения, активной государственной политике и сотрудничеству с другими странами, Марокко имеет все шансы стать одним из лидеров в производстве аккумуляторов и электромобилей, что позволит стране диверсифицировать свою экономику, создать новые рабочие места и повысить уровень жизни населения.</w:t>
      </w:r>
    </w:p>
    <w:p w14:paraId="6605BF21">
      <w:pPr>
        <w:spacing w:after="0" w:line="240" w:lineRule="auto"/>
        <w:ind w:left="397"/>
        <w:jc w:val="both"/>
        <w:rPr>
          <w:rFonts w:eastAsia="Times New Roman" w:asciiTheme="majorBidi" w:hAnsiTheme="majorBidi" w:cstheme="majorBidi"/>
          <w:b/>
          <w:bCs/>
          <w:sz w:val="24"/>
          <w:szCs w:val="24"/>
          <w:lang w:eastAsia="ru-RU"/>
        </w:rPr>
      </w:pPr>
    </w:p>
    <w:p w14:paraId="46E4075C">
      <w:pPr>
        <w:spacing w:after="0" w:line="240" w:lineRule="auto"/>
        <w:ind w:left="397"/>
        <w:jc w:val="both"/>
        <w:rPr>
          <w:rFonts w:eastAsia="Times New Roman" w:asciiTheme="majorBidi" w:hAnsiTheme="majorBidi" w:cstheme="majorBidi"/>
          <w:b/>
          <w:bCs/>
          <w:sz w:val="24"/>
          <w:szCs w:val="24"/>
          <w:lang w:eastAsia="ru-RU"/>
        </w:rPr>
      </w:pP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ru-RU"/>
        </w:rPr>
        <w:t>Литература:</w:t>
      </w:r>
    </w:p>
    <w:p w14:paraId="3EABE84F">
      <w:pPr>
        <w:spacing w:after="0" w:line="240" w:lineRule="auto"/>
        <w:ind w:left="397"/>
        <w:jc w:val="both"/>
        <w:rPr>
          <w:rFonts w:eastAsia="Times New Roman" w:asciiTheme="majorBidi" w:hAnsiTheme="majorBidi" w:cstheme="majorBidi"/>
          <w:b/>
          <w:bCs/>
          <w:sz w:val="24"/>
          <w:szCs w:val="24"/>
          <w:lang w:eastAsia="ru-RU"/>
        </w:rPr>
      </w:pPr>
    </w:p>
    <w:p w14:paraId="4DC1D371">
      <w:pPr>
        <w:pStyle w:val="11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fldChar w:fldCharType="begin"/>
      </w:r>
      <w:r>
        <w:rPr>
          <w:lang w:val="en-US"/>
        </w:rPr>
        <w:instrText xml:space="preserve">HYPERLINK "https://data.worldbank.org/"</w:instrText>
      </w:r>
      <w:r>
        <w:fldChar w:fldCharType="separate"/>
      </w:r>
      <w:bookmarkStart w:id="0" w:name="_Ref159018720"/>
      <w:r>
        <w:rPr>
          <w:rStyle w:val="6"/>
          <w:rFonts w:asciiTheme="majorBidi" w:hAnsiTheme="majorBidi" w:cstheme="majorBidi"/>
          <w:color w:val="auto"/>
          <w:sz w:val="24"/>
          <w:szCs w:val="24"/>
          <w:lang w:val="en-US"/>
        </w:rPr>
        <w:t>World Bank Open Data | Data</w:t>
      </w:r>
      <w:bookmarkEnd w:id="0"/>
      <w:r>
        <w:fldChar w:fldCharType="end"/>
      </w:r>
      <w:r>
        <w:rPr>
          <w:lang w:val="en-US"/>
        </w:rPr>
        <w:t xml:space="preserve">  </w:t>
      </w:r>
    </w:p>
    <w:p w14:paraId="210130D4">
      <w:pPr>
        <w:pStyle w:val="2"/>
        <w:numPr>
          <w:ilvl w:val="0"/>
          <w:numId w:val="1"/>
        </w:numPr>
        <w:shd w:val="clear" w:color="auto" w:fill="FFFFFF"/>
        <w:spacing w:before="0" w:line="312" w:lineRule="atLeast"/>
        <w:jc w:val="both"/>
        <w:textAlignment w:val="baseline"/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Tanchum M. Morocco‘s Africa-to-Europe Commercial Corridor: Gatekeeper of an emerging trans-regional strategic architecture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// 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Austria Institut für Europa- und Sicherheitspolitik, 2020</w:t>
      </w:r>
    </w:p>
    <w:p w14:paraId="178F2659">
      <w:pPr>
        <w:pStyle w:val="1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fldChar w:fldCharType="begin"/>
      </w:r>
      <w:r>
        <w:instrText xml:space="preserve"> HYPERLINK "https://oec.world/en/profile/bilateral-product/cobalt/reporter/mar" </w:instrText>
      </w:r>
      <w:r>
        <w:fldChar w:fldCharType="separate"/>
      </w:r>
      <w:r>
        <w:rPr>
          <w:rStyle w:val="6"/>
          <w:rFonts w:asciiTheme="majorBidi" w:hAnsiTheme="majorBidi" w:cstheme="majorBidi"/>
          <w:color w:val="auto"/>
          <w:sz w:val="24"/>
          <w:szCs w:val="24"/>
          <w:lang w:val="en-US"/>
        </w:rPr>
        <w:t>Cobalt in Morocco | The Observatory of Economic Complexity</w:t>
      </w:r>
      <w:r>
        <w:rPr>
          <w:rStyle w:val="6"/>
          <w:rFonts w:asciiTheme="majorBidi" w:hAnsiTheme="majorBidi" w:cstheme="majorBidi"/>
          <w:color w:val="auto"/>
          <w:sz w:val="24"/>
          <w:szCs w:val="24"/>
          <w:lang w:val="en-US"/>
        </w:rPr>
        <w:fldChar w:fldCharType="end"/>
      </w:r>
    </w:p>
    <w:p w14:paraId="6CCE6665">
      <w:pPr>
        <w:spacing w:after="0" w:line="240" w:lineRule="auto"/>
        <w:ind w:left="397"/>
        <w:jc w:val="both"/>
        <w:rPr>
          <w:rFonts w:eastAsia="Times New Roman" w:asciiTheme="majorBidi" w:hAnsiTheme="majorBidi" w:cstheme="majorBidi"/>
          <w:sz w:val="24"/>
          <w:szCs w:val="24"/>
          <w:lang w:val="en-US" w:eastAsia="ru-RU"/>
        </w:rPr>
      </w:pPr>
    </w:p>
    <w:p w14:paraId="62AA1A9A">
      <w:pPr>
        <w:spacing w:after="0" w:line="240" w:lineRule="auto"/>
        <w:ind w:left="397"/>
        <w:jc w:val="both"/>
        <w:rPr>
          <w:rFonts w:eastAsia="Times New Roman" w:asciiTheme="majorBidi" w:hAnsiTheme="majorBidi" w:cstheme="majorBidi"/>
          <w:sz w:val="24"/>
          <w:szCs w:val="24"/>
          <w:lang w:val="en-US" w:eastAsia="ru-RU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771C5"/>
    <w:multiLevelType w:val="multilevel"/>
    <w:tmpl w:val="08C771C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38"/>
    <w:rsid w:val="0002410E"/>
    <w:rsid w:val="000C0738"/>
    <w:rsid w:val="001B0C17"/>
    <w:rsid w:val="00226368"/>
    <w:rsid w:val="00455295"/>
    <w:rsid w:val="00495961"/>
    <w:rsid w:val="004A5788"/>
    <w:rsid w:val="00545CAA"/>
    <w:rsid w:val="00574A30"/>
    <w:rsid w:val="005C6C49"/>
    <w:rsid w:val="007416A4"/>
    <w:rsid w:val="008A7A91"/>
    <w:rsid w:val="00941E0F"/>
    <w:rsid w:val="00982B38"/>
    <w:rsid w:val="009A4548"/>
    <w:rsid w:val="00C337BF"/>
    <w:rsid w:val="00C538CD"/>
    <w:rsid w:val="00CC5D09"/>
    <w:rsid w:val="00CD3D52"/>
    <w:rsid w:val="00D5781A"/>
    <w:rsid w:val="00E772B2"/>
    <w:rsid w:val="00E92646"/>
    <w:rsid w:val="00E93B58"/>
    <w:rsid w:val="00ED1CBB"/>
    <w:rsid w:val="00F0687F"/>
    <w:rsid w:val="00F07C3B"/>
    <w:rsid w:val="00F4674C"/>
    <w:rsid w:val="753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1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szCs w:val="20"/>
      <w:lang w:bidi="hi-IN"/>
    </w:rPr>
  </w:style>
  <w:style w:type="character" w:customStyle="1" w:styleId="12">
    <w:name w:val="markdown-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4155</Characters>
  <Lines>34</Lines>
  <Paragraphs>9</Paragraphs>
  <TotalTime>220</TotalTime>
  <ScaleCrop>false</ScaleCrop>
  <LinksUpToDate>false</LinksUpToDate>
  <CharactersWithSpaces>4874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2024-10-25T11:39:00Z</dcterms:created>
  <dc:creator>Lenovo</dc:creator>
  <cp:lastModifiedBy>Сергей Мажалис</cp:lastModifiedBy>
  <dcterms:modified xsi:type="dcterms:W3CDTF">2025-03-09T15:41:38Z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57B6B8A3B7664846822560A1A709CEAE_13</vt:lpwstr>
  </property>
</Properties>
</file>