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Правовое регулирование ювелирной отрасли Таиланда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Каминская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Анастасия Федоровна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Студентка 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Московский государственный университет имение М.Ю. Ломоносова, Институт стран Азии и Африки, Москва, Россия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Старший лаборант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Институт Экономики Российской Академии Наук, Центр российской стратегии в Азии, Москва, Россия</w:t>
      </w:r>
    </w:p>
    <w:p>
      <w:pPr>
        <w:pStyle w:val="Normal"/>
        <w:bidi w:val="0"/>
        <w:ind w:hanging="0" w:start="0" w:end="0"/>
        <w:jc w:val="center"/>
        <w:rPr/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E-mail: </w:t>
      </w:r>
      <w:hyperlink r:id="rId3">
        <w:r>
          <w:rPr>
            <w:rStyle w:val="Hyperlink"/>
            <w:rFonts w:ascii="Times New Roman" w:hAnsi="Times New Roman"/>
            <w:i/>
            <w:iCs/>
            <w:sz w:val="28"/>
            <w:szCs w:val="28"/>
            <w:lang w:val="en-US"/>
          </w:rPr>
          <w:t>kaminskaya@inecon.ru</w:t>
        </w:r>
      </w:hyperlink>
    </w:p>
    <w:p>
      <w:pPr>
        <w:pStyle w:val="Normal"/>
        <w:bidi w:val="0"/>
        <w:ind w:hanging="0" w:start="0" w:end="0"/>
        <w:jc w:val="center"/>
        <w:rPr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Ювелирная отрасль Таиланда играет важную роль в экономике страны, обеспечивая значительный вклад в ВВП, экспорт и занятость населения. Таиланд известен как мировой центр огранки драгоценных камней, особенно рубинов и сапфиров, а также как крупный экспортер ювелирных изделий. Правовое регулирование отрасли направлено на поддержание конкурентоспособности и привлечение иностранных инвестиций. Основу законодательной базы составляют Закон о добыче полезных ископаемых 2017 г. и Закон о привлечении инвестиций</w:t>
      </w:r>
      <w:r>
        <w:rPr>
          <w:rFonts w:ascii="Times New Roman" w:hAnsi="Times New Roman"/>
          <w:sz w:val="28"/>
          <w:szCs w:val="28"/>
          <w:lang w:val="en-US"/>
        </w:rPr>
        <w:t>[1]</w:t>
      </w:r>
      <w:r>
        <w:rPr>
          <w:rFonts w:ascii="Times New Roman" w:hAnsi="Times New Roman"/>
          <w:sz w:val="28"/>
          <w:szCs w:val="28"/>
        </w:rPr>
        <w:t>. Эти документы ограничивают участие иностранного капитала в добыче полезных ископаемых, допуская только компании с долей иностранного капитала не более 49%</w:t>
      </w:r>
      <w:r>
        <w:rPr>
          <w:rFonts w:ascii="Times New Roman" w:hAnsi="Times New Roman"/>
          <w:sz w:val="28"/>
          <w:szCs w:val="28"/>
          <w:lang w:val="en-US"/>
        </w:rPr>
        <w:t>[2]</w:t>
      </w:r>
      <w:r>
        <w:rPr>
          <w:rFonts w:ascii="Times New Roman" w:hAnsi="Times New Roman"/>
          <w:sz w:val="28"/>
          <w:szCs w:val="28"/>
        </w:rPr>
        <w:t>. Однако иностранные компании могут получить доступ к рынку через специальные соглашения, но с ограничениями по доле тайского капитала и составу совета директоров.  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элементом правового регулирования являются налоговые льготы. Компании, работающие в ювелирной отрасли, освобождаются от НДС на экспорт и импорт драгоценных камней и металлов, не используемых в украшениях. Также предусмотрено снижение или отмена импортных пошлин на оборудование и сырье. Особое внимание уделяется специальным экономическим зонам, таким как Гемополис</w:t>
      </w:r>
      <w:r>
        <w:rPr>
          <w:rFonts w:ascii="Times New Roman" w:hAnsi="Times New Roman"/>
          <w:sz w:val="28"/>
          <w:szCs w:val="28"/>
          <w:lang w:val="en-US"/>
        </w:rPr>
        <w:t>[3]</w:t>
      </w:r>
      <w:r>
        <w:rPr>
          <w:rFonts w:ascii="Times New Roman" w:hAnsi="Times New Roman"/>
          <w:sz w:val="28"/>
          <w:szCs w:val="28"/>
        </w:rPr>
        <w:t xml:space="preserve">, где компании получают значительные налоговые льготы, включая освобождение от налога на прибыль на срок от 3 до 8 лет. 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привлекательные условия, отрасль сталкивается с </w:t>
      </w:r>
      <w:r>
        <w:rPr>
          <w:rFonts w:ascii="Times New Roman" w:hAnsi="Times New Roman"/>
          <w:sz w:val="28"/>
          <w:szCs w:val="28"/>
        </w:rPr>
        <w:t xml:space="preserve">различными </w:t>
      </w:r>
      <w:r>
        <w:rPr>
          <w:rFonts w:ascii="Times New Roman" w:hAnsi="Times New Roman"/>
          <w:sz w:val="28"/>
          <w:szCs w:val="28"/>
        </w:rPr>
        <w:t xml:space="preserve">вызовами. Таиланд не обладает значительными запасами драгоценных камней, что делает его зависимым от импорта сырья. 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hanging="0" w:start="0" w:end="0"/>
        <w:jc w:val="both"/>
        <w:rPr/>
      </w:pPr>
      <w:r>
        <w:rPr>
          <w:rFonts w:ascii="Times New Roman" w:hAnsi="Times New Roman"/>
          <w:sz w:val="28"/>
          <w:szCs w:val="28"/>
        </w:rPr>
        <w:t>Таким образом, правовое регулирование ювелирной отрасли в Таиланде направлено на поддержание конкурентоспособности страны на мировом рынке. Однако для дальнейшего развития отрасли необходимо совершенствование законодательной базы и устранение существующих проблем.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Список литературы: </w:t>
      </w:r>
    </w:p>
    <w:p>
      <w:pPr>
        <w:pStyle w:val="Normal"/>
        <w:bidi w:val="0"/>
        <w:ind w:hanging="0" w:start="0" w:end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The Chanthaburi-Trat Gem Field [Электронный ресурс] // Gemological Institute of America (GIA). – URL: </w:t>
      </w:r>
      <w:hyperlink r:id="rId4">
        <w:r>
          <w:rPr>
            <w:rStyle w:val="Hyperlink"/>
            <w:rFonts w:ascii="Times New Roman" w:hAnsi="Times New Roman"/>
            <w:sz w:val="28"/>
            <w:szCs w:val="28"/>
          </w:rPr>
          <w:t>https://www.gia.edu/doc/The-Chanthaburi-Trat-Gem-Field.pdf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09.03.2025).</w:t>
      </w:r>
    </w:p>
    <w:p>
      <w:pPr>
        <w:pStyle w:val="BodyText"/>
        <w:bidi w:val="0"/>
        <w:jc w:val="start"/>
        <w:rPr/>
      </w:pPr>
      <w:r>
        <w:rPr>
          <w:rFonts w:ascii="Times New Roman" w:hAnsi="Times New Roman"/>
          <w:sz w:val="28"/>
          <w:szCs w:val="28"/>
        </w:rPr>
        <w:t xml:space="preserve">2. Foreign Business Act in Thailand [Электронный ресурс] // Belaws. – URL: </w:t>
      </w:r>
      <w:hyperlink r:id="rId5">
        <w:r>
          <w:rPr>
            <w:rStyle w:val="Hyperlink"/>
            <w:rFonts w:ascii="Times New Roman" w:hAnsi="Times New Roman"/>
            <w:sz w:val="28"/>
            <w:szCs w:val="28"/>
          </w:rPr>
          <w:t>https://belaws.com/thailand/foreign-business-act-in-thailand/#toggle-id-3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09.03.2025).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Vasikasin P. Impact assessment of Export Processing Zone on Thailand's gem and jewelry industry. Case study: Gemopolis Free Zone: Bangkok, 2016, С. 65.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minskaya@inecon.ru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checklink.mail.ru/proxy?es=YkhO7ws%2Fq43ih7X%2B2VGMubRrHNK3cU1iWKPhgRCO42M%3D&amp;egid=IT6EtTVEtZcXJxVnNWjO71L13e43xvI0x%2FxNj%2FW6A%2Bg%3D&amp;url=https%3A%2F%2Fclick.mail.ru%2Fredir%3Fu%3Dhttps%253A%252F%252Fwww.gia.edu%252Fdoc%252FThe-Chanthaburi-Trat-Gem-Field.pdf%26c%3Dswm%26r%3Dhttp%26o%3Dmail%26v%3D3%26s%3D8ef8819f31076311&amp;uidl=17415516680119472759&amp;from=kaminskaya@inecon.ru&amp;to=kaminskaya@inecon.ru&amp;email=kaminskaya@inecon.ru" TargetMode="External"/><Relationship Id="rId5" Type="http://schemas.openxmlformats.org/officeDocument/2006/relationships/hyperlink" Target="https://checklink.mail.ru/proxy?es=YkhO7ws%2Fq43ih7X%2B2VGMubRrHNK3cU1iWKPhgRCO42M%3D&amp;egid=IT6EtTVEtZcXJxVnNWjO71L13e43xvI0x%2FxNj%2FW6A%2Bg%3D&amp;url=https%3A%2F%2Fclick.mail.ru%2Fredir%3Fu%3Dhttps%253A%252F%252Fbelaws.com%252Fthailand%252Fforeign-business-act-in-thailand%252F%2523toggle-id-3%26c%3Dswm%26r%3Dhttp%26o%3Dmail%26v%3D3%26s%3D4f0ba71184bc001b&amp;uidl=17415516680119472759&amp;from=kaminskaya@inecon.ru&amp;to=kaminskaya@inecon.ru&amp;email=kaminskaya@inecon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LibreOffice/7.6.4.1$Windows_X86_64 LibreOffice_project/e19e193f88cd6c0525a17fb7a176ed8e6a3e2aa1</Application>
  <AppVersion>15.0000</AppVersion>
  <Pages>2</Pages>
  <Words>321</Words>
  <Characters>2343</Characters>
  <CharactersWithSpaces>2657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2025-03-09T22:58:53Z</dcterms:created>
  <dc:creator/>
  <dc:description/>
  <dc:language>ru-RU</dc:language>
  <cp:lastModifiedBy/>
  <dcterms:modified xsi:type="dcterms:W3CDTF">2025-03-09T23:22:09Z</dcterms:modified>
  <cp:revision>1</cp:revision>
  <dc:subject/>
  <dc:title/>
</cp:coreProperties>
</file>