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E7" w:rsidRDefault="00A81359" w:rsidP="00A813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1359">
        <w:rPr>
          <w:rFonts w:ascii="Times New Roman" w:eastAsia="Times New Roman" w:hAnsi="Times New Roman" w:cs="Times New Roman"/>
          <w:b/>
          <w:sz w:val="24"/>
          <w:szCs w:val="24"/>
        </w:rPr>
        <w:t>Торгово-экономические отношения в рамках интеграции в Восточноафриканском сообществе: современное состояние и перспективы развития</w:t>
      </w:r>
    </w:p>
    <w:p w:rsidR="006163E7" w:rsidRDefault="00A81359" w:rsidP="006163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6163E7" w:rsidRDefault="006163E7" w:rsidP="006163E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Страхов Анатолий Игоревич</w:t>
      </w:r>
    </w:p>
    <w:p w:rsidR="006163E7" w:rsidRDefault="00A81359" w:rsidP="006163E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6163E7" w:rsidRDefault="00465D6A" w:rsidP="006163E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 w:rsidR="006163E7">
        <w:rPr>
          <w:rFonts w:ascii="Times New Roman" w:eastAsia="Times New Roman" w:hAnsi="Times New Roman" w:cs="Times New Roman"/>
          <w:i/>
          <w:sz w:val="24"/>
          <w:szCs w:val="24"/>
        </w:rPr>
        <w:t xml:space="preserve"> 1 курса </w:t>
      </w:r>
      <w:proofErr w:type="spellStart"/>
      <w:r w:rsidR="006163E7">
        <w:rPr>
          <w:rFonts w:ascii="Times New Roman" w:eastAsia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6163E7" w:rsidRDefault="00A81359" w:rsidP="006163E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6163E7" w:rsidRDefault="006163E7" w:rsidP="006163E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6163E7" w:rsidRDefault="00A81359" w:rsidP="006163E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6163E7" w:rsidRDefault="006163E7" w:rsidP="006163E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Экономический факультет, Москва, Россия</w:t>
      </w:r>
    </w:p>
    <w:p w:rsidR="006163E7" w:rsidRDefault="00A81359" w:rsidP="006163E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6163E7" w:rsidRPr="009E6BED" w:rsidRDefault="006163E7" w:rsidP="006163E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E6BE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E–mail: avi444@yandex.ru</w:t>
      </w:r>
    </w:p>
    <w:p w:rsidR="006163E7" w:rsidRPr="009E6BED" w:rsidRDefault="00A81359" w:rsidP="006163E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pict>
          <v:rect id="_x0000_i1030" style="width:0;height:1.5pt" o:hralign="center" o:hrstd="t" o:hr="t" fillcolor="#a0a0a0" stroked="f"/>
        </w:pict>
      </w:r>
    </w:p>
    <w:p w:rsidR="006163E7" w:rsidRPr="00943796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На 2024 год на Африканском континенте функционирует 8 официально признанных региональных экономических сообществ, одно из которых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Восточноафриканское сообщество.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Все страны ВАС являются членами Африканского союза и целого ряда локальных объединений. Активное участие госуда</w:t>
      </w:r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рств в р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егиональных союзах является следствием их большой вовлеченности в интеграционные процессы континента, полу</w:t>
      </w:r>
      <w:r w:rsidR="003F66A2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чившие толчок в развитии в 1960</w:t>
      </w:r>
      <w:r w:rsidR="003F66A2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-е</w:t>
      </w:r>
      <w:r w:rsidR="003F66A2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г</w:t>
      </w:r>
      <w:r w:rsidR="003F66A2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оды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на фоне обретения  не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зависимости странами региона. [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2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]</w:t>
      </w:r>
    </w:p>
    <w:p w:rsidR="006163E7" w:rsidRPr="00A64AC9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На начало 2025 года участниками интеграционной группировки являются: Танзания, Кения, Уганда (с 2001),  Бурунди, Руанда (с 2007), Южный Судан (с 2016), ДРК (с 2022) и Сомали (с 2024). Штаб-квартира располо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жена в </w:t>
      </w:r>
      <w:proofErr w:type="spellStart"/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Аруше</w:t>
      </w:r>
      <w:proofErr w:type="spellEnd"/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 Танзания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[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4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]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</w:p>
    <w:p w:rsidR="006163E7" w:rsidRPr="00A64AC9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 w:rsidRPr="003F66A2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Научной проблемой выступает</w:t>
      </w:r>
      <w:r w:rsidR="0043578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 w:rsidR="0029080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недостаточная изученность результатов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внутрирегиональной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интеграции и </w:t>
      </w:r>
      <w:r w:rsidR="0029080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отсутствие полноценного представления о системе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торгово-экономичес</w:t>
      </w:r>
      <w:r w:rsidR="0029080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ких отношений внутри </w:t>
      </w:r>
      <w:r w:rsidR="00290808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сообщества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 сложившихся на сегодняшний день.</w:t>
      </w:r>
      <w:r w:rsidRPr="009A7553"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На страны ВАС приходится 1/7 часть численности населения Африки, и 18% площади контента, что делает сообщество весомым экономическим и пол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итическим игроком на континенте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[</w:t>
      </w:r>
      <w:proofErr w:type="gramStart"/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на</w:t>
      </w:r>
      <w:proofErr w:type="gramEnd"/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основ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3]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Однако объединение отличается большой внутренней неоднородностью по уровню развития участников,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что создает ощутимые препятствия на п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ути интеграции и сотрудничества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[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1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]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</w:p>
    <w:p w:rsidR="006163E7" w:rsidRPr="00A64AC9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В историографии тема развития торгово-экономических отношений внутри интеграционных группировок широко представлена исследованиями региональных объединений разных регионов мира, </w:t>
      </w:r>
      <w:r w:rsidR="00CB6485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B6485">
        <w:rPr>
          <w:rFonts w:ascii="Times New Roman" w:eastAsia="Times New Roman" w:hAnsi="Times New Roman" w:cs="Times New Roman"/>
          <w:sz w:val="24"/>
          <w:szCs w:val="24"/>
        </w:rPr>
        <w:t>ем не менее</w:t>
      </w:r>
      <w:r w:rsidR="00CB648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проблема развития Африканских экономических блоков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освещается в исследованиях недостаточно широко.</w:t>
      </w:r>
      <w:r w:rsidR="00CB6485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Из-за возрастания веса Африки в сфере международных отношений</w:t>
      </w:r>
      <w:r w:rsidR="00465D6A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проведению исследований африканских интеграционных группировок важно уделять особое внимание. Своевременный мониторинг текущей торгово-экономической ситуации внутри ВАС поможет также не допустить ошибки интеграции, в результате которых сообщество распалось 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в 1977 году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, про</w:t>
      </w:r>
      <w:proofErr w:type="spellStart"/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существова</w:t>
      </w:r>
      <w:proofErr w:type="spellEnd"/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в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10 лет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и бы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ло вновь возрождено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только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в 2000 г</w:t>
      </w:r>
      <w:r w:rsidR="00465D6A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оду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[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4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]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</w:p>
    <w:p w:rsidR="006163E7" w:rsidRPr="00943796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Библиография, использованная в исследовании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представляет собой  набор официальных отчетов ВАС, статистических баз данных</w:t>
      </w:r>
      <w:r w:rsidR="00CB648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(на основании которых были </w:t>
      </w:r>
      <w:r w:rsidR="006C1302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рассчитаны дополнительные показатели)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 сборников, русскоязычных пособий по интеграции Африканских государств.</w:t>
      </w:r>
    </w:p>
    <w:p w:rsidR="006163E7" w:rsidRPr="00943796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Работа основывается на методе аналитической обработки статистических данных, подкрепленной принятием во внимание исторических предпосылок, а также на использовании сравнительного подхода для оценки полученных значений. </w:t>
      </w:r>
    </w:p>
    <w:p w:rsidR="006163E7" w:rsidRDefault="006163E7" w:rsidP="003F66A2">
      <w:pPr>
        <w:spacing w:line="240" w:lineRule="auto"/>
        <w:ind w:firstLine="39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Новизна исследования заключается в проведении анализа торгово-экономической обстановки в регионе в ретроспективе и в использовании наиболее современных данных для выявления актуальных тенденций внутри ВАС. </w:t>
      </w:r>
    </w:p>
    <w:p w:rsidR="006163E7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lastRenderedPageBreak/>
        <w:t xml:space="preserve">В ходе исследования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на основе анализа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внутрирегиональной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экономической связанности были выявлены проблемы и обозначены перспективы развития группировки, а также сделаны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прогнозы относительно будущих темпов развития торгово-экономических отношений внутри Восточноафриканского сообщества.</w:t>
      </w:r>
    </w:p>
    <w:p w:rsidR="006163E7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Основными целями сообщества являются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решение вопросов экономического развития и интеграция. За последние 18 лет показатели суммарного экспорта стран-членов ВАС выросли в 8,4 раза, а удельный вес участников интеграционной группировки в мировом экспорте по сравнению с 2005 (0,062%) к 2023 увеличился в 3,5 раза 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 составил 0,223% [</w:t>
      </w:r>
      <w:proofErr w:type="gramStart"/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на</w:t>
      </w:r>
      <w:proofErr w:type="gramEnd"/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основ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5].</w:t>
      </w:r>
    </w:p>
    <w:p w:rsidR="006163E7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На 2023 год торговля внутри ВАС наиболее важна пятёрки стран, раньше остальных вступивших в интеграционную группировку. Для Уганды и Кении, доля экспортируемых товаров в страны объединения составляет 35% и 33% соответственно. За ними по использованию восточноафриканского рынка сбыта продукции следуют Бурунди (29%), Руанда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( </w:t>
      </w:r>
      <w:proofErr w:type="gramEnd"/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21%) и Танзания (16%) [на основ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5].</w:t>
      </w:r>
    </w:p>
    <w:p w:rsidR="006163E7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Вес Танзании, Кении и Уганды в экспорте внутрь сообщества составляет 80,2%. Основными импортерами внутри ВАС являются Уганда (почти с двукратным увеличением объема импорта из объединения за год до 2 224 </w:t>
      </w:r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млн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долл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), ДРК и Кения,  доля которых в общем импорте объединения составляет 61,1%</w:t>
      </w:r>
      <w:r>
        <w:rPr>
          <w:rFonts w:ascii="Times New Roman" w:eastAsia="Times New Roman" w:hAnsi="Times New Roman" w:cs="Times New Roman"/>
          <w:i/>
          <w:color w:val="202122"/>
          <w:sz w:val="24"/>
          <w:szCs w:val="24"/>
          <w:highlight w:val="white"/>
        </w:rPr>
        <w:t xml:space="preserve">. 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[на основ</w:t>
      </w:r>
      <w:r w:rsidR="00A64AC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  <w:r w:rsidRPr="006C1302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5].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</w:p>
    <w:p w:rsidR="006163E7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Степень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дифференцированности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экспорта, поставляемого участниками сообщества, пропорциональна уровню их современного экономического развития, (тенденция прослеживается на основе показателей базы данных [6]) Так, кенийские поставки в страны объединения отличает разнообразие продукции: в Уганду экспортируются строительные материалы, металлический прокат, в Танзанию направляется продукция химической промышленности, автомобилестроения. Уганда экспортирует сельскохозяйственную продукцию, а Танзании, помимо этого, важную роль играет поставка продукции горнодобывающей промышленности. ДРК и Южный Судан —  поставщики минерального сырья, активно принимающие продукцию пищевой промышленности. </w:t>
      </w:r>
    </w:p>
    <w:p w:rsidR="006163E7" w:rsidRPr="009E6BED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Неравномерность распределения стран по экспорту и импорту внутри сообщества (доминирование лидеров ВАС на рынках сбыта региона) указывает на проблемы в пропорциональном распределении преимуществ кооперации и установления взаимовыгодных торговых условий между странами.</w:t>
      </w:r>
    </w:p>
    <w:p w:rsidR="006163E7" w:rsidRDefault="006163E7" w:rsidP="003F66A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Подводя итог, важно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отметить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, что на данный момент перспективы динамичного увеличения объемов взаимной торговли малы по причине однотипности экспортируемой продукции большинством стран объединения, неоднородности участников по уровню экономического развития, низкой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взаимодополняемости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стран и прочных позиций Кении – главного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внутрирегионального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экспортера.</w:t>
      </w:r>
    </w:p>
    <w:p w:rsidR="00A64AC9" w:rsidRDefault="00A64AC9" w:rsidP="003F66A2">
      <w:pPr>
        <w:spacing w:line="240" w:lineRule="auto"/>
        <w:ind w:firstLine="397"/>
        <w:jc w:val="both"/>
        <w:rPr>
          <w:rFonts w:ascii="Roboto" w:eastAsia="Roboto" w:hAnsi="Roboto" w:cs="Roboto"/>
          <w:b/>
          <w:color w:val="353535"/>
          <w:sz w:val="23"/>
          <w:szCs w:val="23"/>
          <w:lang w:val="ru-RU"/>
        </w:rPr>
      </w:pPr>
    </w:p>
    <w:p w:rsidR="009E6BED" w:rsidRDefault="009E6BED" w:rsidP="003F66A2">
      <w:pPr>
        <w:spacing w:line="240" w:lineRule="auto"/>
        <w:ind w:firstLine="397"/>
        <w:jc w:val="both"/>
        <w:rPr>
          <w:rFonts w:ascii="Roboto" w:eastAsia="Roboto" w:hAnsi="Roboto" w:cs="Roboto"/>
          <w:b/>
          <w:color w:val="353535"/>
          <w:sz w:val="23"/>
          <w:szCs w:val="23"/>
          <w:lang w:val="ru-RU"/>
        </w:rPr>
      </w:pPr>
      <w:r w:rsidRPr="009E6BED">
        <w:rPr>
          <w:rFonts w:ascii="Roboto" w:eastAsia="Roboto" w:hAnsi="Roboto" w:cs="Roboto"/>
          <w:b/>
          <w:color w:val="353535"/>
          <w:sz w:val="23"/>
          <w:szCs w:val="23"/>
        </w:rPr>
        <w:t>Литература</w:t>
      </w:r>
    </w:p>
    <w:p w:rsidR="00A64AC9" w:rsidRPr="00A64AC9" w:rsidRDefault="00A64AC9" w:rsidP="003F66A2">
      <w:pPr>
        <w:spacing w:line="240" w:lineRule="auto"/>
        <w:ind w:firstLine="397"/>
        <w:jc w:val="both"/>
        <w:rPr>
          <w:rFonts w:ascii="Roboto" w:eastAsia="Roboto" w:hAnsi="Roboto" w:cs="Roboto"/>
          <w:b/>
          <w:color w:val="353535"/>
          <w:sz w:val="23"/>
          <w:szCs w:val="23"/>
          <w:lang w:val="ru-RU"/>
        </w:rPr>
      </w:pPr>
    </w:p>
    <w:p w:rsidR="009E6BED" w:rsidRPr="00FC3C6B" w:rsidRDefault="006163E7" w:rsidP="003F66A2">
      <w:pPr>
        <w:pStyle w:val="a3"/>
        <w:numPr>
          <w:ilvl w:val="0"/>
          <w:numId w:val="2"/>
        </w:numPr>
        <w:spacing w:line="240" w:lineRule="auto"/>
        <w:ind w:firstLine="397"/>
        <w:jc w:val="both"/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</w:pP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Костюнина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Г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М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.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Интеграция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в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Африке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/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Г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М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.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Костюнина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//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Международная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экономическая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интеграция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: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учебное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пособие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/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Под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proofErr w:type="spellStart"/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ред</w:t>
      </w:r>
      <w:proofErr w:type="spellEnd"/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.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Н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Н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>.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Ливенцева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.-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М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.: </w:t>
      </w:r>
      <w:proofErr w:type="spellStart"/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Экономистъ</w:t>
      </w:r>
      <w:proofErr w:type="spellEnd"/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, 2006. –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С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>. 297-320.</w:t>
      </w:r>
    </w:p>
    <w:p w:rsidR="009E6BED" w:rsidRPr="00FC3C6B" w:rsidRDefault="006163E7" w:rsidP="003F66A2">
      <w:pPr>
        <w:pStyle w:val="a3"/>
        <w:numPr>
          <w:ilvl w:val="0"/>
          <w:numId w:val="2"/>
        </w:numPr>
        <w:spacing w:line="240" w:lineRule="auto"/>
        <w:ind w:firstLine="397"/>
        <w:jc w:val="both"/>
        <w:rPr>
          <w:rFonts w:ascii="Roboto" w:eastAsia="Roboto" w:hAnsi="Roboto" w:cs="Roboto"/>
          <w:b/>
          <w:color w:val="353535"/>
          <w:sz w:val="24"/>
          <w:szCs w:val="24"/>
          <w:lang w:val="ru-RU"/>
        </w:rPr>
      </w:pP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ru-RU"/>
        </w:rPr>
        <w:t xml:space="preserve"> </w:t>
      </w:r>
      <w:proofErr w:type="spellStart"/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Ныгусие</w:t>
      </w:r>
      <w:proofErr w:type="spellEnd"/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К.М., Ивкина Н.В.  Региональные интеграционные сообщества (объединения) в Африке. Учебное пособие – М.: Мир науки, 2024.</w:t>
      </w:r>
    </w:p>
    <w:p w:rsidR="009E6BED" w:rsidRPr="00FC3C6B" w:rsidRDefault="006163E7" w:rsidP="003F66A2">
      <w:pPr>
        <w:pStyle w:val="a3"/>
        <w:numPr>
          <w:ilvl w:val="0"/>
          <w:numId w:val="2"/>
        </w:numPr>
        <w:spacing w:line="240" w:lineRule="auto"/>
        <w:ind w:firstLine="397"/>
        <w:jc w:val="both"/>
        <w:rPr>
          <w:rFonts w:ascii="Roboto" w:eastAsia="Roboto" w:hAnsi="Roboto" w:cs="Roboto"/>
          <w:b/>
          <w:color w:val="353535"/>
          <w:sz w:val="24"/>
          <w:szCs w:val="24"/>
          <w:lang w:val="ru-RU"/>
        </w:rPr>
      </w:pP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en-US"/>
        </w:rPr>
        <w:t>CIA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en-US"/>
        </w:rPr>
        <w:t>world</w:t>
      </w: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en-US"/>
        </w:rPr>
        <w:t>factbook</w:t>
      </w:r>
      <w:proofErr w:type="spellEnd"/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2022-2023</w:t>
      </w:r>
    </w:p>
    <w:p w:rsidR="00465D6A" w:rsidRPr="00FC3C6B" w:rsidRDefault="006163E7" w:rsidP="003F66A2">
      <w:pPr>
        <w:pStyle w:val="a3"/>
        <w:numPr>
          <w:ilvl w:val="0"/>
          <w:numId w:val="2"/>
        </w:numPr>
        <w:spacing w:line="240" w:lineRule="auto"/>
        <w:ind w:firstLine="397"/>
        <w:jc w:val="both"/>
        <w:rPr>
          <w:rFonts w:ascii="Roboto" w:eastAsia="Roboto" w:hAnsi="Roboto" w:cs="Roboto"/>
          <w:b/>
          <w:color w:val="353535"/>
          <w:sz w:val="24"/>
          <w:szCs w:val="24"/>
          <w:lang w:val="en-US"/>
        </w:rPr>
      </w:pP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EAC. INT: </w:t>
      </w:r>
      <w:hyperlink r:id="rId6" w:history="1">
        <w:r w:rsidR="00465D6A" w:rsidRPr="00FC3C6B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https://www.eac.int/eac-quick-facts</w:t>
        </w:r>
      </w:hyperlink>
    </w:p>
    <w:p w:rsidR="009E6BED" w:rsidRPr="00FC3C6B" w:rsidRDefault="006163E7" w:rsidP="003F66A2">
      <w:pPr>
        <w:pStyle w:val="a3"/>
        <w:numPr>
          <w:ilvl w:val="0"/>
          <w:numId w:val="2"/>
        </w:numPr>
        <w:spacing w:line="240" w:lineRule="auto"/>
        <w:ind w:firstLine="397"/>
        <w:jc w:val="both"/>
        <w:rPr>
          <w:rFonts w:ascii="Roboto" w:eastAsia="Roboto" w:hAnsi="Roboto" w:cs="Roboto"/>
          <w:b/>
          <w:color w:val="353535"/>
          <w:sz w:val="24"/>
          <w:szCs w:val="24"/>
          <w:lang w:val="en-US"/>
        </w:rPr>
      </w:pPr>
      <w:r w:rsidRPr="00FC3C6B">
        <w:rPr>
          <w:rFonts w:ascii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Trademap.org: </w:t>
      </w:r>
      <w:hyperlink r:id="rId7" w:history="1">
        <w:r w:rsidR="009E6BED" w:rsidRPr="00FC3C6B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https://www.trademap.org/Index.aspx</w:t>
        </w:r>
      </w:hyperlink>
    </w:p>
    <w:p w:rsidR="00465D6A" w:rsidRPr="00FC3C6B" w:rsidRDefault="006163E7" w:rsidP="003F66A2">
      <w:pPr>
        <w:pStyle w:val="a3"/>
        <w:numPr>
          <w:ilvl w:val="0"/>
          <w:numId w:val="2"/>
        </w:numPr>
        <w:spacing w:line="240" w:lineRule="auto"/>
        <w:ind w:firstLine="397"/>
        <w:jc w:val="both"/>
        <w:rPr>
          <w:rFonts w:ascii="Roboto" w:eastAsia="Roboto" w:hAnsi="Roboto" w:cs="Roboto"/>
          <w:b/>
          <w:color w:val="353535"/>
          <w:sz w:val="24"/>
          <w:szCs w:val="24"/>
          <w:lang w:val="en-US"/>
        </w:rPr>
      </w:pPr>
      <w:r w:rsidRPr="00FC3C6B">
        <w:rPr>
          <w:rFonts w:ascii="Times New Roman" w:hAnsi="Times New Roman" w:cs="Times New Roman"/>
          <w:color w:val="101112"/>
          <w:sz w:val="24"/>
          <w:szCs w:val="24"/>
          <w:highlight w:val="white"/>
          <w:lang w:val="en-US"/>
        </w:rPr>
        <w:t xml:space="preserve">The Observatory of Economic Complexity (OEC): </w:t>
      </w:r>
      <w:hyperlink r:id="rId8" w:history="1">
        <w:r w:rsidR="00465D6A" w:rsidRPr="00FC3C6B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https://oec.world/en</w:t>
        </w:r>
      </w:hyperlink>
    </w:p>
    <w:p w:rsidR="00465D6A" w:rsidRPr="00FC3C6B" w:rsidRDefault="00465D6A" w:rsidP="003F66A2">
      <w:pPr>
        <w:spacing w:line="240" w:lineRule="auto"/>
        <w:ind w:firstLine="397"/>
        <w:jc w:val="both"/>
        <w:rPr>
          <w:rFonts w:ascii="Roboto" w:eastAsia="Roboto" w:hAnsi="Roboto" w:cs="Roboto"/>
          <w:b/>
          <w:color w:val="353535"/>
          <w:sz w:val="23"/>
          <w:szCs w:val="23"/>
          <w:lang w:val="en-US"/>
        </w:rPr>
      </w:pPr>
    </w:p>
    <w:sectPr w:rsidR="00465D6A" w:rsidRPr="00FC3C6B" w:rsidSect="00465D6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184"/>
    <w:multiLevelType w:val="hybridMultilevel"/>
    <w:tmpl w:val="B650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0A2B"/>
    <w:multiLevelType w:val="hybridMultilevel"/>
    <w:tmpl w:val="8C2CFC52"/>
    <w:lvl w:ilvl="0" w:tplc="81307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9B"/>
    <w:rsid w:val="00290808"/>
    <w:rsid w:val="003F66A2"/>
    <w:rsid w:val="00435787"/>
    <w:rsid w:val="00453619"/>
    <w:rsid w:val="00465D6A"/>
    <w:rsid w:val="006163E7"/>
    <w:rsid w:val="006C1302"/>
    <w:rsid w:val="007419A3"/>
    <w:rsid w:val="007A6BF0"/>
    <w:rsid w:val="009827F9"/>
    <w:rsid w:val="009E6BED"/>
    <w:rsid w:val="00A51BDB"/>
    <w:rsid w:val="00A554E2"/>
    <w:rsid w:val="00A64AC9"/>
    <w:rsid w:val="00A81359"/>
    <w:rsid w:val="00C156AF"/>
    <w:rsid w:val="00CB6485"/>
    <w:rsid w:val="00CF512C"/>
    <w:rsid w:val="00E0689B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63E7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B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08"/>
    <w:rPr>
      <w:rFonts w:ascii="Tahoma" w:eastAsia="Arial" w:hAnsi="Tahoma" w:cs="Tahoma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63E7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B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08"/>
    <w:rPr>
      <w:rFonts w:ascii="Tahoma" w:eastAsia="Arial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c.world/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ademap.org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c.int/eac-quick-fac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2025-03-09T17:03:00Z</dcterms:created>
  <dcterms:modified xsi:type="dcterms:W3CDTF">2025-03-09T17:52:00Z</dcterms:modified>
</cp:coreProperties>
</file>