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D30B" w14:textId="34DF5170" w:rsidR="000A1686" w:rsidRPr="000A1686" w:rsidRDefault="000A1686" w:rsidP="00136C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E441694" w14:textId="0FC4EB99" w:rsidR="000A1686" w:rsidRPr="00136C39" w:rsidRDefault="000A1686" w:rsidP="000A16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C39">
        <w:rPr>
          <w:rFonts w:ascii="Times New Roman" w:hAnsi="Times New Roman" w:cs="Times New Roman"/>
          <w:b/>
          <w:bCs/>
          <w:sz w:val="24"/>
          <w:szCs w:val="24"/>
        </w:rPr>
        <w:t xml:space="preserve"> Интернет в регионе MENA: свобода, цензура и вызовы кибербезопасности</w:t>
      </w:r>
    </w:p>
    <w:p w14:paraId="6EDBF78E" w14:textId="4FFDCBE6" w:rsidR="003072CE" w:rsidRDefault="00772634" w:rsidP="000A16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Бирюков Матвей Валерьевич</w:t>
      </w:r>
    </w:p>
    <w:p w14:paraId="56841E7B" w14:textId="747F9E68" w:rsidR="00AF0BF0" w:rsidRPr="00AF0BF0" w:rsidRDefault="00AF0BF0" w:rsidP="00AF0BF0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Студент</w:t>
      </w:r>
    </w:p>
    <w:p w14:paraId="2DBC4F21" w14:textId="47107EA4" w:rsidR="006D3C15" w:rsidRPr="006D3C15" w:rsidRDefault="00AF0BF0" w:rsidP="006D3C15">
      <w:pPr>
        <w:spacing w:line="240" w:lineRule="auto"/>
        <w:jc w:val="center"/>
        <w:rPr>
          <w:rFonts w:ascii="Times New Roman" w:hAnsi="Times New Roman"/>
          <w:i/>
          <w:iCs/>
          <w:sz w:val="24"/>
        </w:rPr>
      </w:pPr>
      <w:r w:rsidRPr="00AF0BF0">
        <w:rPr>
          <w:rFonts w:ascii="Times New Roman" w:hAnsi="Times New Roman"/>
          <w:i/>
          <w:iCs/>
          <w:sz w:val="24"/>
        </w:rPr>
        <w:t>Московский государственный университет имени М.В.Ломоносова,</w:t>
      </w:r>
      <w:r>
        <w:rPr>
          <w:rFonts w:ascii="Times New Roman" w:hAnsi="Times New Roman"/>
          <w:i/>
          <w:iCs/>
          <w:sz w:val="24"/>
        </w:rPr>
        <w:t xml:space="preserve">факультет </w:t>
      </w:r>
      <w:r w:rsidRPr="00AF0BF0">
        <w:rPr>
          <w:rFonts w:ascii="Times New Roman" w:hAnsi="Times New Roman"/>
          <w:i/>
          <w:iCs/>
          <w:sz w:val="24"/>
        </w:rPr>
        <w:t>Институт стран Азии и Африки</w:t>
      </w:r>
      <w:r w:rsidR="006D3C15" w:rsidRPr="006D3C15">
        <w:rPr>
          <w:rFonts w:ascii="Times New Roman" w:hAnsi="Times New Roman"/>
          <w:i/>
          <w:iCs/>
          <w:sz w:val="24"/>
        </w:rPr>
        <w:t>, Москва, Россия</w:t>
      </w:r>
    </w:p>
    <w:p w14:paraId="565F3698" w14:textId="720B0644" w:rsidR="006D3C15" w:rsidRPr="00772634" w:rsidRDefault="006D3C15" w:rsidP="00913CCC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3C1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</w:t>
      </w:r>
      <w:r w:rsidRPr="00772634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6D3C1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mail</w:t>
      </w:r>
      <w:r w:rsidRPr="007726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="0077263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</w:t>
      </w:r>
      <w:r w:rsidR="00772634" w:rsidRPr="00772634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="0077263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</w:t>
      </w:r>
      <w:r w:rsidR="00772634" w:rsidRPr="00772634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proofErr w:type="spellStart"/>
      <w:r w:rsidR="0077263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mateo</w:t>
      </w:r>
      <w:proofErr w:type="spellEnd"/>
      <w:r w:rsidR="00772634" w:rsidRPr="00772634">
        <w:rPr>
          <w:rFonts w:ascii="Times New Roman" w:hAnsi="Times New Roman" w:cs="Times New Roman"/>
          <w:bCs/>
          <w:i/>
          <w:iCs/>
          <w:sz w:val="24"/>
          <w:szCs w:val="24"/>
        </w:rPr>
        <w:t>2003@</w:t>
      </w:r>
      <w:r w:rsidR="0077263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mail</w:t>
      </w:r>
      <w:r w:rsidR="00772634" w:rsidRPr="0077263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spellStart"/>
      <w:r w:rsidR="0077263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ru</w:t>
      </w:r>
      <w:proofErr w:type="spellEnd"/>
    </w:p>
    <w:p w14:paraId="1BDD70A4" w14:textId="68FDA238" w:rsidR="0082410F" w:rsidRPr="0082410F" w:rsidRDefault="0082410F" w:rsidP="00B64F2D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10F">
        <w:rPr>
          <w:rFonts w:ascii="Times New Roman" w:hAnsi="Times New Roman" w:cs="Times New Roman"/>
          <w:bCs/>
          <w:sz w:val="24"/>
          <w:szCs w:val="24"/>
        </w:rPr>
        <w:t>Интернет давно стал неотъемлемой частью современной жизни, влияя на все сферы общества: экономику, политику, образование и повседневное взаимодействие людей. Однако с развитием цифровых технологий государства сталкиваются с необходимостью регулировать интернет-пространство, балансируя между обеспечением безопасности и сохранением свободы выражения мнений. Особенно это актуально для стран региона Ближнего Востока и Северной Африки (MENA), где цифровая среда является одновременно важным инструментом развития и объектом жесткого контроля со стороны властей.</w:t>
      </w:r>
      <w:r w:rsidRPr="0082410F">
        <w:t xml:space="preserve"> </w:t>
      </w:r>
      <w:r w:rsidRPr="0082410F">
        <w:rPr>
          <w:rFonts w:ascii="Times New Roman" w:hAnsi="Times New Roman" w:cs="Times New Roman"/>
          <w:bCs/>
          <w:sz w:val="24"/>
          <w:szCs w:val="24"/>
        </w:rPr>
        <w:t xml:space="preserve">По данным Международного союза электросвязи (ITU), в 2023 году глобальный уровень проникновения интернета достиг </w:t>
      </w:r>
      <w:r w:rsidRPr="00136C39">
        <w:rPr>
          <w:rFonts w:ascii="Times New Roman" w:hAnsi="Times New Roman" w:cs="Times New Roman"/>
          <w:sz w:val="24"/>
          <w:szCs w:val="24"/>
        </w:rPr>
        <w:t xml:space="preserve">67%, </w:t>
      </w:r>
      <w:r w:rsidRPr="0082410F">
        <w:rPr>
          <w:rFonts w:ascii="Times New Roman" w:hAnsi="Times New Roman" w:cs="Times New Roman"/>
          <w:bCs/>
          <w:sz w:val="24"/>
          <w:szCs w:val="24"/>
        </w:rPr>
        <w:t xml:space="preserve">что означает, что более </w:t>
      </w:r>
      <w:r w:rsidRPr="00136C39">
        <w:rPr>
          <w:rFonts w:ascii="Times New Roman" w:hAnsi="Times New Roman" w:cs="Times New Roman"/>
          <w:sz w:val="24"/>
          <w:szCs w:val="24"/>
        </w:rPr>
        <w:t>5,4 миллиарда человек имеют доступ к сети. В развитых странах этот показатель превышает 90%, тогда как в регионах с низким уровнем доходов он остается значительно ниже. В регионе Ближнего Востока и Северной Африки (MENA) интернет-проникновение также стабильно растет, достигнув 75% в 2023 году, что выше среднемирового показателя. Однако доступ к сети сильно различается внутри региона: в таких странах, как ОАЭ и Катар, охват превышает 99%, тогда как в Йемене и Судане остается на уровне</w:t>
      </w:r>
      <w:r w:rsidR="00AF0BF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36C39">
        <w:rPr>
          <w:rFonts w:ascii="Times New Roman" w:hAnsi="Times New Roman" w:cs="Times New Roman"/>
          <w:sz w:val="24"/>
          <w:szCs w:val="24"/>
        </w:rPr>
        <w:t xml:space="preserve"> 30–40%</w:t>
      </w:r>
      <w:r w:rsidR="00AF0BF0" w:rsidRPr="0098177F">
        <w:rPr>
          <w:rFonts w:ascii="Times New Roman" w:hAnsi="Times New Roman" w:cs="Times New Roman"/>
          <w:bCs/>
          <w:sz w:val="24"/>
          <w:szCs w:val="24"/>
        </w:rPr>
        <w:t>[1]</w:t>
      </w:r>
      <w:r w:rsidRPr="0082410F">
        <w:rPr>
          <w:rFonts w:ascii="Times New Roman" w:hAnsi="Times New Roman" w:cs="Times New Roman"/>
          <w:bCs/>
          <w:sz w:val="24"/>
          <w:szCs w:val="24"/>
        </w:rPr>
        <w:t>.При этом широкое распространение смартфонов и мобильного интернета играет ключевую роль в цифровизации региона, так как большая часть пользователей выходит в сеть именно через мобильные устройства. Несмотря на растущее проникновение интернета, многие страны MENA сохраняют строгий контроль над цифровым пространством, что влияет на уровень интернет-свободы и доступ к информации.</w:t>
      </w:r>
    </w:p>
    <w:p w14:paraId="57197CA1" w14:textId="3ED00405" w:rsidR="0082410F" w:rsidRPr="0082410F" w:rsidRDefault="0082410F" w:rsidP="00B64F2D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10F">
        <w:rPr>
          <w:rFonts w:ascii="Times New Roman" w:hAnsi="Times New Roman" w:cs="Times New Roman"/>
          <w:bCs/>
          <w:sz w:val="24"/>
          <w:szCs w:val="24"/>
        </w:rPr>
        <w:t>В последние десятилетия многие страны региона внедрили различные механизмы регулирования интернета. Одни государства стремятся к максимальному контролю над онлайн-пространством, ограничивая доступ к определенным ресурсам и вводя строгие законы, регулирующие поведение пользователей. Другие, напротив, делают упор на развитие цифровой инфраструктуры и усиление защиты от киберугроз, предоставляя при этом гражданам больше возможностей для свободного выражения мнений.</w:t>
      </w:r>
    </w:p>
    <w:p w14:paraId="69654A78" w14:textId="58F2E2D2" w:rsidR="0098177F" w:rsidRPr="0098177F" w:rsidRDefault="0082410F" w:rsidP="0098177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10F">
        <w:rPr>
          <w:rFonts w:ascii="Times New Roman" w:hAnsi="Times New Roman" w:cs="Times New Roman"/>
          <w:bCs/>
          <w:sz w:val="24"/>
          <w:szCs w:val="24"/>
        </w:rPr>
        <w:t>Одним из ключевых вопросов является уровень свободы интернета в регионе. Доступность информации, цензура, ограничения на использование определенных платформ и защита прав пользователей – все это влияет на цифровой климат в каждой конкретной стране. В некоторых государствах интернет используется как инструмент политического контроля: блокируются новостные сайты, ограничивается работа социальных сетей, а за высказывания в интернете могут последовать реальные наказания. Однако есть и страны, где интернет-свобода поддерживается на более высоком уровне, хотя и в рамках строгого регулирования.</w:t>
      </w:r>
      <w:r w:rsidR="0098177F" w:rsidRPr="0098177F">
        <w:t xml:space="preserve"> </w:t>
      </w:r>
      <w:r w:rsidR="0098177F" w:rsidRPr="0098177F">
        <w:rPr>
          <w:rFonts w:ascii="Times New Roman" w:hAnsi="Times New Roman" w:cs="Times New Roman"/>
          <w:bCs/>
          <w:sz w:val="24"/>
          <w:szCs w:val="24"/>
        </w:rPr>
        <w:t xml:space="preserve">Анализ индекса Freedom on the Net 2023, разработанного Freedom House, показывает, что средний уровень интернет-свободы в регионе MENA составляет 37,2 балла из 100, что классифицируется как «несвободный интернет». Основными проблемными категориями являются препятствия к доступу и ограничение контента, которые находятся на критически низком уровне. При этом </w:t>
      </w:r>
      <w:r w:rsidR="0098177F" w:rsidRPr="0098177F">
        <w:rPr>
          <w:rFonts w:ascii="Times New Roman" w:hAnsi="Times New Roman" w:cs="Times New Roman"/>
          <w:bCs/>
          <w:sz w:val="24"/>
          <w:szCs w:val="24"/>
        </w:rPr>
        <w:lastRenderedPageBreak/>
        <w:t>нарушения прав пользователей в отдельных странах оказываются менее жесткими, что демонстрирует разницу в подходах к цифровому контролю</w:t>
      </w:r>
      <w:r w:rsidR="00AF0BF0" w:rsidRPr="0098177F">
        <w:rPr>
          <w:rFonts w:ascii="Times New Roman" w:hAnsi="Times New Roman" w:cs="Times New Roman"/>
          <w:bCs/>
          <w:sz w:val="24"/>
          <w:szCs w:val="24"/>
        </w:rPr>
        <w:t>[2]</w:t>
      </w:r>
      <w:r w:rsidR="0098177F" w:rsidRPr="0098177F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D66ED1" w14:textId="6DE6CA89" w:rsidR="0082410F" w:rsidRPr="0082410F" w:rsidRDefault="0098177F" w:rsidP="0098177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77F">
        <w:rPr>
          <w:rFonts w:ascii="Times New Roman" w:hAnsi="Times New Roman" w:cs="Times New Roman"/>
          <w:bCs/>
          <w:sz w:val="24"/>
          <w:szCs w:val="24"/>
        </w:rPr>
        <w:t>Примеры отдельных государств наглядно показывают, как правительства региона регулируют интернет-пространство. Так, в ОАЭ заблокированы популярные VoIP-сервисы (WhatsApp, Skype), а доступ к независимым новостным ресурсам серьезно ограничен. В Египте активная интернет-цензура включает блокировку новостных порталов и контроль за социальными сетями, особенно в периоды политической нестабильности. В то же время такие страны, как Марокко и Кувейт, демонстрируют более мягкий подход, контролируя интернет через законодательные меры, но не прибегая к массовым репрессиям против пользователей.</w:t>
      </w:r>
    </w:p>
    <w:p w14:paraId="1D63D6CD" w14:textId="5C908B61" w:rsidR="0082410F" w:rsidRPr="0082410F" w:rsidRDefault="0082410F" w:rsidP="0098177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10F">
        <w:rPr>
          <w:rFonts w:ascii="Times New Roman" w:hAnsi="Times New Roman" w:cs="Times New Roman"/>
          <w:bCs/>
          <w:sz w:val="24"/>
          <w:szCs w:val="24"/>
        </w:rPr>
        <w:t>Другой важный аспект – кибербезопасность. В условиях растущих киберугроз, таких как хакерские атаки, кибершпионаж и распространение дезинформации, государства стремятся укреплять защиту своих цифровых пространств. Это включает в себя разработку национальных стратегий кибербезопасности, создание специальных агентств и усиление международного сотрудничества в этой сфере. Однако важно отметить, что меры по обеспечению кибербезопасности иногда становятся инструментом для введения более жесткого контроля над интернет-пространством, что вызывает дискуссии о границе между защитой и цензурой.</w:t>
      </w:r>
      <w:r w:rsidR="0098177F" w:rsidRPr="0098177F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="0098177F" w:rsidRPr="00136C39">
        <w:rPr>
          <w:rFonts w:ascii="Times New Roman" w:hAnsi="Times New Roman" w:cs="Times New Roman"/>
          <w:sz w:val="24"/>
          <w:szCs w:val="24"/>
        </w:rPr>
        <w:t>Global Cybersecurity Index (GCI) 2024,</w:t>
      </w:r>
      <w:r w:rsidR="0098177F" w:rsidRPr="0098177F">
        <w:rPr>
          <w:rFonts w:ascii="Times New Roman" w:hAnsi="Times New Roman" w:cs="Times New Roman"/>
          <w:bCs/>
          <w:sz w:val="24"/>
          <w:szCs w:val="24"/>
        </w:rPr>
        <w:t xml:space="preserve"> уровень готовности стран MENA к киберугрозам значительно варьируется. В то время как ОАЭ, Катар, Саудовская Аравия и Египет занимают лидирующие позиции (100 баллов), страны с низким уровнем интернет-свободы, такие как Йемен и Ливан, отстают по большинству параметров[3]. </w:t>
      </w:r>
    </w:p>
    <w:p w14:paraId="355D1EEA" w14:textId="4FA30585" w:rsidR="0082410F" w:rsidRPr="0082410F" w:rsidRDefault="0082410F" w:rsidP="00B64F2D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10F">
        <w:rPr>
          <w:rFonts w:ascii="Times New Roman" w:hAnsi="Times New Roman" w:cs="Times New Roman"/>
          <w:bCs/>
          <w:sz w:val="24"/>
          <w:szCs w:val="24"/>
        </w:rPr>
        <w:t>Важно рассмотреть какие подходы используют страны региона MENA для регулирования интернета, какие основные вызовы стоят перед ними в сфере цифровой безопасности и как это соотносится с глобальными тенденциями.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10F">
        <w:rPr>
          <w:rFonts w:ascii="Times New Roman" w:hAnsi="Times New Roman" w:cs="Times New Roman"/>
          <w:bCs/>
          <w:sz w:val="24"/>
          <w:szCs w:val="24"/>
        </w:rPr>
        <w:t>Также важно рассмотреть перспективы развития интернет-свободы и цифровой безопасности в регионе. Будет ли усиление контроля над интернетом продолжаться, или государства смогут найти баланс, обеспечивая безопасность без излишних ограничений? Какие уроки можно извлечь из мирового опыта, и возможно ли их применение в регионе MENA?</w:t>
      </w:r>
    </w:p>
    <w:p w14:paraId="4E05F501" w14:textId="63B9FEA0" w:rsidR="0082410F" w:rsidRDefault="0082410F" w:rsidP="0082410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10F">
        <w:rPr>
          <w:rFonts w:ascii="Times New Roman" w:hAnsi="Times New Roman" w:cs="Times New Roman"/>
          <w:bCs/>
          <w:sz w:val="24"/>
          <w:szCs w:val="24"/>
        </w:rPr>
        <w:t>Таким образом, анализ этих вопросов позволит глубже понять, как страны MENA адаптируются к вызовам цифровой эры, какие тенденции в области интернет-свободы и кибербезопасности набирают силу и какие последствия это может иметь для общества. В итоге, главный вопрос, на который нам предстоит ответить, заключается в том, можно ли обеспечить цифровую безопасность, не ограничивая при этом фундаментальные права и свободы пользователей.</w:t>
      </w:r>
    </w:p>
    <w:p w14:paraId="4AB55442" w14:textId="77777777" w:rsidR="00B64F2D" w:rsidRDefault="00B64F2D" w:rsidP="00425F1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BA6489" w14:textId="095CF3E9" w:rsidR="006D3C15" w:rsidRDefault="00542D38" w:rsidP="0082410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D38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14:paraId="2D8EDBDB" w14:textId="2D85ACAB" w:rsidR="00102A85" w:rsidRPr="0098177F" w:rsidRDefault="0098177F" w:rsidP="0098177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98177F">
        <w:rPr>
          <w:rFonts w:ascii="Times New Roman" w:hAnsi="Times New Roman" w:cs="Times New Roman"/>
          <w:sz w:val="24"/>
          <w:szCs w:val="24"/>
          <w:lang w:val="en-US"/>
        </w:rPr>
        <w:t xml:space="preserve">Measuring Digital Development: Facts and Figures 2023. International Telecommunication Union (ITU). URL: </w:t>
      </w:r>
      <w:hyperlink r:id="rId8" w:history="1">
        <w:r w:rsidRPr="00BC541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98177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BC541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8177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BC541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itu</w:t>
        </w:r>
        <w:r w:rsidRPr="0098177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BC541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int</w:t>
        </w:r>
        <w:r w:rsidRPr="0098177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BC541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en</w:t>
        </w:r>
        <w:r w:rsidRPr="0098177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BC541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ITU</w:t>
        </w:r>
        <w:r w:rsidRPr="0098177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BC541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98177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BC541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Statistics</w:t>
        </w:r>
        <w:r w:rsidRPr="0098177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BC541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Pages</w:t>
        </w:r>
        <w:r w:rsidRPr="0098177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BC541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facts</w:t>
        </w:r>
        <w:r w:rsidRPr="0098177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BC541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default</w:t>
        </w:r>
        <w:r w:rsidRPr="0098177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BC541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asp</w:t>
        </w:r>
      </w:hyperlink>
      <w:r w:rsidRPr="0098177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63C8CE68" w14:textId="37D1642B" w:rsidR="00102A85" w:rsidRDefault="0098177F" w:rsidP="0098177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98177F">
        <w:rPr>
          <w:rFonts w:ascii="Times New Roman" w:hAnsi="Times New Roman" w:cs="Times New Roman"/>
          <w:sz w:val="24"/>
          <w:szCs w:val="24"/>
          <w:lang w:val="en-US"/>
        </w:rPr>
        <w:t xml:space="preserve">Freedom on the Net 2023 report. Freedom House. URL: </w:t>
      </w:r>
      <w:hyperlink r:id="rId9" w:tgtFrame="_new" w:history="1">
        <w:r w:rsidRPr="0098177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https://newsletter.radensa.ru/wp-content/uploads/2023/10/Freedom-on-the-net-2023-DigitalBooklet</w:t>
        </w:r>
      </w:hyperlink>
    </w:p>
    <w:p w14:paraId="55C32BED" w14:textId="2B000C47" w:rsidR="0098177F" w:rsidRDefault="0098177F" w:rsidP="0098177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98177F">
        <w:rPr>
          <w:rFonts w:ascii="Times New Roman" w:hAnsi="Times New Roman" w:cs="Times New Roman"/>
          <w:b/>
          <w:bCs/>
          <w:sz w:val="24"/>
          <w:szCs w:val="24"/>
          <w:lang w:val="en-US"/>
        </w:rPr>
        <w:t>Global Cybersecurity Index (GCI) 2024 5th Edition</w:t>
      </w:r>
      <w:r w:rsidRPr="0098177F">
        <w:rPr>
          <w:rFonts w:ascii="Times New Roman" w:hAnsi="Times New Roman" w:cs="Times New Roman"/>
          <w:sz w:val="24"/>
          <w:szCs w:val="24"/>
          <w:lang w:val="en-US"/>
        </w:rPr>
        <w:t>. International Telecommunication Union (ITU)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URL: </w:t>
      </w:r>
      <w:hyperlink r:id="rId10" w:history="1">
        <w:r w:rsidRPr="00BC5414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https://ict.moscow/static/pdf/files/d-hdb-gci.01-2024-pdf-e.pdf</w:t>
        </w:r>
      </w:hyperlink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59847585" w14:textId="77777777" w:rsidR="006D3C15" w:rsidRPr="00AF0BF0" w:rsidRDefault="006D3C15" w:rsidP="00AF0BF0">
      <w:pPr>
        <w:pStyle w:val="ListParagraph"/>
        <w:spacing w:line="240" w:lineRule="auto"/>
        <w:ind w:left="1287"/>
        <w:rPr>
          <w:rFonts w:ascii="Times New Roman" w:hAnsi="Times New Roman" w:cs="Times New Roman"/>
          <w:sz w:val="24"/>
          <w:szCs w:val="24"/>
          <w:lang w:val="tr-TR"/>
        </w:rPr>
      </w:pPr>
    </w:p>
    <w:sectPr w:rsidR="006D3C15" w:rsidRPr="00AF0BF0" w:rsidSect="002D6513">
      <w:footerReference w:type="default" r:id="rId11"/>
      <w:pgSz w:w="11907" w:h="16839" w:code="9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314B" w14:textId="77777777" w:rsidR="001225E9" w:rsidRDefault="001225E9" w:rsidP="000A1686">
      <w:pPr>
        <w:spacing w:after="0" w:line="240" w:lineRule="auto"/>
      </w:pPr>
      <w:r>
        <w:separator/>
      </w:r>
    </w:p>
  </w:endnote>
  <w:endnote w:type="continuationSeparator" w:id="0">
    <w:p w14:paraId="23B22056" w14:textId="77777777" w:rsidR="001225E9" w:rsidRDefault="001225E9" w:rsidP="000A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894122"/>
      <w:docPartObj>
        <w:docPartGallery w:val="Page Numbers (Bottom of Page)"/>
        <w:docPartUnique/>
      </w:docPartObj>
    </w:sdtPr>
    <w:sdtEndPr/>
    <w:sdtContent>
      <w:p w14:paraId="1E5656B2" w14:textId="1A42DE5C" w:rsidR="000A1686" w:rsidRDefault="000A168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B2DB05" w14:textId="77777777" w:rsidR="000A1686" w:rsidRDefault="000A1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D082F" w14:textId="77777777" w:rsidR="001225E9" w:rsidRDefault="001225E9" w:rsidP="000A1686">
      <w:pPr>
        <w:spacing w:after="0" w:line="240" w:lineRule="auto"/>
      </w:pPr>
      <w:r>
        <w:separator/>
      </w:r>
    </w:p>
  </w:footnote>
  <w:footnote w:type="continuationSeparator" w:id="0">
    <w:p w14:paraId="2CA70D0D" w14:textId="77777777" w:rsidR="001225E9" w:rsidRDefault="001225E9" w:rsidP="000A1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549E"/>
    <w:multiLevelType w:val="hybridMultilevel"/>
    <w:tmpl w:val="F7F8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23BF7"/>
    <w:multiLevelType w:val="hybridMultilevel"/>
    <w:tmpl w:val="871481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8F"/>
    <w:rsid w:val="0003387A"/>
    <w:rsid w:val="000478AD"/>
    <w:rsid w:val="000A1686"/>
    <w:rsid w:val="000C4412"/>
    <w:rsid w:val="00102A85"/>
    <w:rsid w:val="00117C64"/>
    <w:rsid w:val="001225E9"/>
    <w:rsid w:val="00133451"/>
    <w:rsid w:val="00136C39"/>
    <w:rsid w:val="0017096A"/>
    <w:rsid w:val="001C1F07"/>
    <w:rsid w:val="001D774A"/>
    <w:rsid w:val="00222396"/>
    <w:rsid w:val="00230673"/>
    <w:rsid w:val="0024072E"/>
    <w:rsid w:val="00252D50"/>
    <w:rsid w:val="002720FD"/>
    <w:rsid w:val="002722EA"/>
    <w:rsid w:val="002A6D39"/>
    <w:rsid w:val="002D084B"/>
    <w:rsid w:val="002D6513"/>
    <w:rsid w:val="003072CE"/>
    <w:rsid w:val="00320D1D"/>
    <w:rsid w:val="00334A84"/>
    <w:rsid w:val="00364397"/>
    <w:rsid w:val="00377C6E"/>
    <w:rsid w:val="003B3D0F"/>
    <w:rsid w:val="003F2929"/>
    <w:rsid w:val="00417D13"/>
    <w:rsid w:val="00425F18"/>
    <w:rsid w:val="004445F9"/>
    <w:rsid w:val="004B5A91"/>
    <w:rsid w:val="004F644F"/>
    <w:rsid w:val="00506BF9"/>
    <w:rsid w:val="00507490"/>
    <w:rsid w:val="005110E1"/>
    <w:rsid w:val="00512291"/>
    <w:rsid w:val="0051308E"/>
    <w:rsid w:val="00542D38"/>
    <w:rsid w:val="00553545"/>
    <w:rsid w:val="00580E46"/>
    <w:rsid w:val="005C7C2C"/>
    <w:rsid w:val="005E4C57"/>
    <w:rsid w:val="00620359"/>
    <w:rsid w:val="00651CED"/>
    <w:rsid w:val="006661C3"/>
    <w:rsid w:val="00691AD3"/>
    <w:rsid w:val="006A419E"/>
    <w:rsid w:val="006D3C15"/>
    <w:rsid w:val="006E36E6"/>
    <w:rsid w:val="00714AA0"/>
    <w:rsid w:val="0075290B"/>
    <w:rsid w:val="00761E47"/>
    <w:rsid w:val="00772634"/>
    <w:rsid w:val="007A5A90"/>
    <w:rsid w:val="007C10BF"/>
    <w:rsid w:val="007D4200"/>
    <w:rsid w:val="007E3EE4"/>
    <w:rsid w:val="0081565C"/>
    <w:rsid w:val="0082410F"/>
    <w:rsid w:val="00834D71"/>
    <w:rsid w:val="00880EF1"/>
    <w:rsid w:val="008B456E"/>
    <w:rsid w:val="008C51EC"/>
    <w:rsid w:val="00913CCC"/>
    <w:rsid w:val="00955A46"/>
    <w:rsid w:val="00963D8F"/>
    <w:rsid w:val="0098177F"/>
    <w:rsid w:val="00992DCC"/>
    <w:rsid w:val="00A02233"/>
    <w:rsid w:val="00A9350D"/>
    <w:rsid w:val="00AA48F7"/>
    <w:rsid w:val="00AB40FA"/>
    <w:rsid w:val="00AF0BF0"/>
    <w:rsid w:val="00B260E2"/>
    <w:rsid w:val="00B26222"/>
    <w:rsid w:val="00B459E1"/>
    <w:rsid w:val="00B464C5"/>
    <w:rsid w:val="00B64F2D"/>
    <w:rsid w:val="00BE2EC5"/>
    <w:rsid w:val="00C9686A"/>
    <w:rsid w:val="00CA427E"/>
    <w:rsid w:val="00D543ED"/>
    <w:rsid w:val="00D5548D"/>
    <w:rsid w:val="00D645A9"/>
    <w:rsid w:val="00D90BF8"/>
    <w:rsid w:val="00DD4F20"/>
    <w:rsid w:val="00E0779A"/>
    <w:rsid w:val="00E134F5"/>
    <w:rsid w:val="00E276FD"/>
    <w:rsid w:val="00E65A09"/>
    <w:rsid w:val="00E743D1"/>
    <w:rsid w:val="00EC2A93"/>
    <w:rsid w:val="00ED143E"/>
    <w:rsid w:val="00F12646"/>
    <w:rsid w:val="00F2662F"/>
    <w:rsid w:val="00F40652"/>
    <w:rsid w:val="00F6564A"/>
    <w:rsid w:val="00F6634F"/>
    <w:rsid w:val="00F849D0"/>
    <w:rsid w:val="00F9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3875"/>
  <w15:docId w15:val="{A5163F6F-88EE-4FFB-98A2-A41FA97F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4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0E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1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686"/>
  </w:style>
  <w:style w:type="paragraph" w:styleId="Footer">
    <w:name w:val="footer"/>
    <w:basedOn w:val="Normal"/>
    <w:link w:val="FooterChar"/>
    <w:uiPriority w:val="99"/>
    <w:unhideWhenUsed/>
    <w:rsid w:val="000A1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686"/>
  </w:style>
  <w:style w:type="character" w:styleId="UnresolvedMention">
    <w:name w:val="Unresolved Mention"/>
    <w:basedOn w:val="DefaultParagraphFont"/>
    <w:uiPriority w:val="99"/>
    <w:semiHidden/>
    <w:unhideWhenUsed/>
    <w:rsid w:val="009817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17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D/Statistics/Pages/facts/default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ct.moscow/static/pdf/files/d-hdb-gci.01-2024-pdf-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sletter.radensa.ru/wp-content/uploads/2023/10/Freedom-on-the-net-2023-DigitalBook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B04D0-67E7-4C3C-B24D-70565C8F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998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11205</cp:lastModifiedBy>
  <cp:revision>5</cp:revision>
  <dcterms:created xsi:type="dcterms:W3CDTF">2025-03-02T15:54:00Z</dcterms:created>
  <dcterms:modified xsi:type="dcterms:W3CDTF">2025-03-03T16:38:00Z</dcterms:modified>
</cp:coreProperties>
</file>