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6AA82"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40" w:firstLineChars="100"/>
        <w:jc w:val="center"/>
        <w:textAlignment w:val="auto"/>
        <w:rPr>
          <w:rFonts w:hint="default" w:ascii="Times New Roman Bold" w:hAnsi="Times New Roman Bold" w:cs="Times New Roman Bold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Bold" w:hAnsi="Times New Roman Bold" w:cs="Times New Roman Bold"/>
          <w:b/>
          <w:bCs/>
          <w:color w:val="auto"/>
          <w:kern w:val="0"/>
          <w:sz w:val="24"/>
          <w:szCs w:val="24"/>
          <w:lang w:val="en-US" w:eastAsia="zh-CN" w:bidi="ar-SA"/>
        </w:rPr>
        <w:t>Поче</w:t>
      </w:r>
      <w:r>
        <w:rPr>
          <w:rFonts w:hint="default" w:ascii="Times New Roman Bold" w:hAnsi="Times New Roman Bold" w:cs="Times New Roman Bold"/>
          <w:b/>
          <w:bCs/>
          <w:color w:val="auto"/>
          <w:kern w:val="0"/>
          <w:sz w:val="24"/>
          <w:szCs w:val="24"/>
          <w:lang w:val="ru-RU" w:eastAsia="zh-CN" w:bidi="ar-SA"/>
        </w:rPr>
        <w:t>му КНР продает госдолг США?</w:t>
      </w:r>
    </w:p>
    <w:p w14:paraId="6E8ED332"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40" w:firstLineChars="100"/>
        <w:jc w:val="center"/>
        <w:textAlignment w:val="auto"/>
        <w:rPr>
          <w:rFonts w:hint="default" w:ascii="Times New Roman Bold" w:hAnsi="Times New Roman Bold" w:cs="Times New Roman Bold"/>
          <w:b/>
          <w:bCs/>
          <w:color w:val="auto"/>
          <w:kern w:val="0"/>
          <w:sz w:val="24"/>
          <w:szCs w:val="24"/>
          <w:lang w:val="ru-RU" w:eastAsia="zh-CN" w:bidi="ar-SA"/>
        </w:rPr>
      </w:pPr>
    </w:p>
    <w:p w14:paraId="2E2B671C"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40" w:firstLineChars="100"/>
        <w:jc w:val="both"/>
        <w:textAlignment w:val="auto"/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 xml:space="preserve">Ковалева Анна Анатольевна, аспирант 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 xml:space="preserve">2 курса 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МГУ-ППИ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 xml:space="preserve"> и ИСАА МГУ им. Ломоносова, 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en-US" w:eastAsia="zh-CN" w:bidi="ar-SA"/>
        </w:rPr>
        <w:t>ORCID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: 0009-0007-8898-2617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>.</w:t>
      </w:r>
    </w:p>
    <w:p w14:paraId="1FD8D30F"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40" w:firstLineChars="100"/>
        <w:jc w:val="both"/>
        <w:textAlignment w:val="auto"/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</w:pPr>
    </w:p>
    <w:p w14:paraId="0EB913B0"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В статье приведены результаты исследования внешней экономической политики КНР, а конкретно причины продажи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американского госдолга в 2022-202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>4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 xml:space="preserve"> гг., с целью определить причины и возможные последствия этого явления. В рамках статьи автор излагает мысли относительно дискуссии о продаже КНР госдолга США из-за обострения политической сит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>у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ации между этими двумя странами. Ставится под сомнени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>е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 xml:space="preserve"> точка зрения, согласно которой продажа госдолга связана с возможной заморозкой средств КНР в результате потенциального Тайваньского кризиса. Аргументиру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>е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тся вывод о том, что экономическая политика КНР, в частности р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>е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шен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>ие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 xml:space="preserve"> о покупке или продаже госдолга США обуслов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>л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ены экономиче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>с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кими причинами, такими как рост или снижение доходности треж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lang w:val="ru-RU" w:eastAsia="zh-CN" w:bidi="ar-SA"/>
        </w:rPr>
        <w:t>е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 xml:space="preserve">рис Минфина США. </w:t>
      </w:r>
    </w:p>
    <w:p w14:paraId="790980A1">
      <w:pPr>
        <w:pStyle w:val="8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54923AE1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В последние годы продажи Китайской Народной Республикой американских государственных облигаций вызвали широкий резонанс среди экономистов и аналитиков. В период с 2022 по 202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 xml:space="preserve"> год КНР существенно сократила свои вложения в госдолг США, что породило множество гипотез относительно причин и последствий данного явления. В рамках данной статьи мы исследуем внешнюю экономическую политику КНР и определяем причины, стоящие за продажей КНР госдолга США.</w:t>
      </w:r>
    </w:p>
    <w:p w14:paraId="7929BB5C">
      <w:pPr>
        <w:pStyle w:val="25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02D7D983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Основной тезис нашего исследования заключается в том, что экономическая политика КНР, включая решение о продаже американских государственных облигаций, обусловлена экономическими, а не политическими причинами. Рассмотрим наши доводы.</w:t>
      </w:r>
    </w:p>
    <w:p w14:paraId="2D70D45C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6DCAF920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Экономические причины продажи госдолга США:</w:t>
      </w:r>
    </w:p>
    <w:p w14:paraId="151D432B">
      <w:pPr>
        <w:pStyle w:val="25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5CDF9CCF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1. Доходность казначейских облигаций США: одной из основных причин продажи госдолга является изменение доходности трежерис Минфина США. В периоды, когда доходность этих бумаг снижается, как в рассматриваемый период, их привлекательность для инвесторов уменьшается. Китай, как крупнейший держатель американского госдолга, постоянно ищет более выгодные возможности для размещения своих резервов, что включает диверсификацию активов и поиск более доходных инвестиций.</w:t>
      </w:r>
    </w:p>
    <w:p w14:paraId="56F96BBA">
      <w:pPr>
        <w:pStyle w:val="25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1371B3E7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2. Управление резервами: китайская экономика сталкивается с различными внутренними вызовами, такими как замедление экономического роста и необходимость поддержания финансовой стабильности. В этой связи управление валютными резервами становится ключевым инструментом. Продажа американских облигаций позволяет КНР мобилизовать ресурсы для поддержки национальной экономики.</w:t>
      </w:r>
    </w:p>
    <w:p w14:paraId="766F229D">
      <w:pPr>
        <w:pStyle w:val="25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41B063AE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3. Валютные колебания: колебания курса доллара США также играют важную роль. В периоды укрепления доллара, стоимость облигаций в юанях снижается, что делает их менее привлекательными для Китая. В таких ситуациях продажа облигаций позволяет избежать убытков и зафиксировать доходы.</w:t>
      </w:r>
    </w:p>
    <w:p w14:paraId="44511EAD">
      <w:pPr>
        <w:pStyle w:val="25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73E2084A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Политические причины продажи госдолга США:</w:t>
      </w:r>
    </w:p>
    <w:p w14:paraId="109E138E">
      <w:pPr>
        <w:pStyle w:val="25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018F6875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Обострение политической ситуации между США и КНР, в частности, Тайваньский кризис, также рассматривается как потенциальный фактор, влияющий на решения КНР о продаже госдолга США. Однако данная точка зрения вызывает сомнения по нескольким причинам:</w:t>
      </w:r>
    </w:p>
    <w:p w14:paraId="6EA259C9">
      <w:pPr>
        <w:pStyle w:val="25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12B456EE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1. Долгосрочные экономические интересы: продажа американских облигаций в больших объемах может привести к дестабилизации финансовых рынков и снижению стоимости оставшихся активов. КНР, будучи крупным держателем госдолга США, вряд ли заинтересована в таком развитии событий, так как это нанесет ущерб и её экономике.</w:t>
      </w:r>
    </w:p>
    <w:p w14:paraId="6FB7C03E">
      <w:pPr>
        <w:pStyle w:val="25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49B2F36A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 xml:space="preserve">2. Потенциальная заморозка активов: существует мнение, что КНР продает американские облигации из-за опасений возможной заморозки своих активов в случае обострения политической ситуации вокруг о. Тайвань. Однако заморозка столь значительных активов представляется крайне маловероятной и имела бы разрушительные последствия для глобальной экономики, включая экономику США. Основной аргумент противников этого мнения - отсутствие намерения КНР переводить конфликт с о. Тавань в фазу военных действий, многие исследователи полагают, что Китай заинтересован в мирном воссоединении. </w:t>
      </w:r>
    </w:p>
    <w:p w14:paraId="0A116F6D">
      <w:pPr>
        <w:pStyle w:val="25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</w:p>
    <w:p w14:paraId="6D3DCED3">
      <w:pPr>
        <w:pStyle w:val="25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</w:pPr>
      <w:bookmarkStart w:id="0" w:name="_GoBack"/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>Решение КНР о продаже американских государственных облигаций в период 2022-202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Times New Roman Regular" w:hAnsi="Times New Roman Regular" w:cs="Times New Roman Regular" w:eastAsiaTheme="minorEastAsia"/>
          <w:color w:val="auto"/>
          <w:kern w:val="0"/>
          <w:sz w:val="24"/>
          <w:szCs w:val="24"/>
          <w:lang w:val="ru-RU" w:eastAsia="zh-CN" w:bidi="ar-SA"/>
        </w:rPr>
        <w:t xml:space="preserve"> г.г. имеет прежде всего экономические причины, связанные с изменением доходности казначейских облигаций, управлением валютными резервами и колебаниями курса доллара. Политические аспекты, такие как Тайваньский кризис, не являются определяющими для внешней экономической политики США. </w:t>
      </w:r>
    </w:p>
    <w:bookmarkEnd w:id="0"/>
    <w:p w14:paraId="4F82F9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ru-RU" w:eastAsia="zh-CN" w:bidi="ar-SA"/>
        </w:rPr>
      </w:pPr>
    </w:p>
    <w:sectPr>
      <w:pgSz w:w="11906" w:h="16838"/>
      <w:pgMar w:top="1138" w:right="1361" w:bottom="1138" w:left="1361" w:header="851" w:footer="99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7D17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B8F8B4C"/>
    <w:rsid w:val="67FB4693"/>
    <w:rsid w:val="7FC1C312"/>
    <w:rsid w:val="FED7D17E"/>
    <w:rsid w:val="FF7DB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宋体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宋体" w:hAnsi="宋体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宋体" w:hAnsi="宋体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宋体" w:hAnsi="宋体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宋体" w:hAnsi="宋体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宋体" w:hAnsi="宋体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宋体" w:hAnsi="宋体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宋体" w:hAnsi="宋体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宋体" w:hAnsi="宋体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Style1"/>
    <w:basedOn w:val="1"/>
    <w:uiPriority w:val="0"/>
    <w:pPr>
      <w:keepNext/>
      <w:keepLines/>
      <w:spacing w:before="240" w:after="240" w:line="360" w:lineRule="auto"/>
      <w:jc w:val="both"/>
      <w:outlineLvl w:val="0"/>
    </w:pPr>
    <w:rPr>
      <w:rFonts w:ascii="Times New Roman Regular" w:hAnsi="Times New Roman Regular" w:cs="Times New Roman Regular" w:eastAsiaTheme="majorEastAsia"/>
      <w:b/>
      <w:color w:val="0D0D0D" w:themeColor="text1" w:themeTint="F2"/>
      <w:sz w:val="28"/>
      <w:szCs w:val="28"/>
      <w:lang w:val="ru-RU" w:eastAsia="ko-KR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250">
    <w:name w:val="p2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251">
    <w:name w:val="p1"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275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2024-07-04T00:51:00Z</dcterms:created>
  <dc:creator>Anna Kova 安娜</dc:creator>
  <cp:lastModifiedBy>Anna Kova 安娜</cp:lastModifiedBy>
  <dcterms:modified xsi:type="dcterms:W3CDTF">2025-03-06T12:34:45Z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1033-6.13.2.8918</vt:lpwstr>
  </property>
  <property fmtid="{D5CDD505-2E9C-101B-9397-08002B2CF9AE}" pid="3" name="ICV">
    <vt:lpwstr>CC2D4CD10F104632356CC9676459B3A7_43</vt:lpwstr>
  </property>
</Properties>
</file>