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67"/>
        <w:tblW w:w="15446" w:type="dxa"/>
        <w:tblLook w:val="04A0" w:firstRow="1" w:lastRow="0" w:firstColumn="1" w:lastColumn="0" w:noHBand="0" w:noVBand="1"/>
      </w:tblPr>
      <w:tblGrid>
        <w:gridCol w:w="1340"/>
        <w:gridCol w:w="4589"/>
        <w:gridCol w:w="2603"/>
        <w:gridCol w:w="3115"/>
        <w:gridCol w:w="3799"/>
      </w:tblGrid>
      <w:tr w:rsidR="00CE2BB4" w:rsidTr="007C4F59">
        <w:trPr>
          <w:trHeight w:val="416"/>
        </w:trPr>
        <w:tc>
          <w:tcPr>
            <w:tcW w:w="155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682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03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</w:p>
        </w:tc>
        <w:tc>
          <w:tcPr>
            <w:tcW w:w="1701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лекции</w:t>
            </w:r>
          </w:p>
        </w:tc>
        <w:tc>
          <w:tcPr>
            <w:tcW w:w="850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</w:tc>
      </w:tr>
      <w:tr w:rsidR="00CE2BB4" w:rsidTr="007C4F59">
        <w:trPr>
          <w:trHeight w:val="416"/>
        </w:trPr>
        <w:tc>
          <w:tcPr>
            <w:tcW w:w="1555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15.05-15.25</w:t>
            </w:r>
          </w:p>
        </w:tc>
        <w:tc>
          <w:tcPr>
            <w:tcW w:w="1682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ауд. 415 (Главное Здание МГУ, сектор «А», 4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3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сотрудник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Земля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В верхних частях земной коры можно видеть горно-складчатые сооружения, платформы,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рифтовые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крупные разломы и другие значительные по размеру структуры. В свою очередь, горные сооружения состоят из множества складок и разрывов; на платформах можно найти целый ряд более мелких структур,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рифтовые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также сложно построены. Геологов интересует – каким образом формировались деформационные структуры разного размера. С другой стороны, залежи нефти, газа, руды имеют, преимущественно, структурный контроль. Понять происхождение структур разного ранга, их строение, эволюцию может помочь физическое (аналоговое) моделирование. Для этого берутся материалы, которые в лабораторных условиях позволяют получить структуры, аналогичные природным, формирующимися в течение длительного времени. Материалы помещаются в специальные приборы, а затем подвергаются 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какому-либо воздействию в зависимости от задач исследования.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В качестве примеров аналогового моделирования можно привести: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складчатых и складчато-надвиговых сооружений из разогретой канифоли и сухого песка.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структур растяжения – рифтов – с последующим их сжатием и формированием инверсионных структур – поднятий, которые могут служить ловушками УВ.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сочетания сдвига со сжатием (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транспрессия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) и формирование поднятий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pop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, которые часто являются ловушками для УВ.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сочетания сдвига с растяжением (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транстенсия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) и формирование впадин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pull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apart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гравитационных систем на подводных склонах (эти системы, как правило, содержат месторождения УВ).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Моделирование сдвигов из песка и влажной глины. С зонами сдвига часто связаны 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месторождения как углеводородов, так и руд.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складок из пластилина.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Все модели сопровождаются примерами природных структур; показывается роль аналогового моделирования для интерпретации сейсмических данных; демонстрируются потенциальные участки локализации полезных ископаемых. Приводится также результат моделирования конкретных сдвиговых зон с разведанными месторождениями.</w:t>
            </w:r>
          </w:p>
        </w:tc>
      </w:tr>
      <w:tr w:rsidR="00683E3B" w:rsidTr="007C4F59">
        <w:trPr>
          <w:trHeight w:val="416"/>
        </w:trPr>
        <w:tc>
          <w:tcPr>
            <w:tcW w:w="1555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11.04.2025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15.25-15.45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ауд. 415 (Главное Здание МГУ, сектор «А», 4 этаж)</w:t>
            </w:r>
          </w:p>
        </w:tc>
        <w:tc>
          <w:tcPr>
            <w:tcW w:w="2003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тарший научный сотрудник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«Геология — это красиво! Море»</w:t>
            </w:r>
          </w:p>
        </w:tc>
        <w:tc>
          <w:tcPr>
            <w:tcW w:w="8505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Часто мы любуемся красотой природы вокруг, не задумываясь, как и почему возникли те или иные пейзажи. На самом деле, в их происхождении нет ничего таинственного, и все геологи это знают.</w:t>
            </w: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приподнять завесу тайны о происхождении этой красоты сможет рассказ </w:t>
            </w:r>
            <w:proofErr w:type="spellStart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. геологического факультета МГУ имени М.В. Ломоносова Александра Викторовича Спиридонова. Этот рассказ будет посвящен деятельности моря, геологическим следам, оставленным морскими 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организмами, как вымершими, так и живущими поныне.  Впрочем, понимание законов природы не мешает наслаждаться ее красотой.</w:t>
            </w:r>
          </w:p>
        </w:tc>
      </w:tr>
      <w:tr w:rsidR="007C4F59" w:rsidTr="007C4F59">
        <w:trPr>
          <w:trHeight w:val="416"/>
        </w:trPr>
        <w:tc>
          <w:tcPr>
            <w:tcW w:w="1555" w:type="dxa"/>
          </w:tcPr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11.04.2025 </w:t>
            </w:r>
          </w:p>
          <w:p w:rsid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15.45-16.05</w:t>
            </w:r>
          </w:p>
        </w:tc>
        <w:tc>
          <w:tcPr>
            <w:tcW w:w="1682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>ауд. 415 (Главное Здание МГУ, сектор «А», 4 этаж)</w:t>
            </w:r>
          </w:p>
        </w:tc>
        <w:tc>
          <w:tcPr>
            <w:tcW w:w="2003" w:type="dxa"/>
          </w:tcPr>
          <w:p w:rsidR="007C4F59" w:rsidRPr="007C4F59" w:rsidRDefault="007C4F59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4F59">
              <w:rPr>
                <w:rFonts w:ascii="Times New Roman" w:hAnsi="Times New Roman" w:cs="Times New Roman"/>
                <w:sz w:val="24"/>
                <w:szCs w:val="24"/>
              </w:rPr>
              <w:t xml:space="preserve">тарший научный сотрудник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 И.Е.</w:t>
            </w:r>
          </w:p>
        </w:tc>
        <w:tc>
          <w:tcPr>
            <w:tcW w:w="1701" w:type="dxa"/>
          </w:tcPr>
          <w:p w:rsidR="007C4F59" w:rsidRPr="007C4F59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Гейзеры: рождение, жизнь и смерть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Термин «гейзер» происходит от имени собственного одного исландского источника «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geysir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». В современной геологии гейзером называют любой горячий источник, из которого происходят периодические выбросы воды и пара.</w:t>
            </w:r>
          </w:p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Гейзеры – это достаточно редко встречающиеся природные объекты, массово развиты всего в нескольких местах на планете. Одним из таких мест является уникальная Долина Гейзеров на Камчатке. </w:t>
            </w:r>
          </w:p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Но почему же они столь редки? Ведь просто горячих источников, извергающих воду с температурой ~100℃ или водяной пар с еще большей температурой в сотни и тысячи раз больше, чем гейзеров. Все дело в том, что для функционирования гейзера должны совпасть сразу несколько факторов, самым важным из которых, пожалуй, является характер 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пустотности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 массива, иначе говоря, форма подводящего 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гейзеру канала внутри массива горных пород. </w:t>
            </w:r>
          </w:p>
          <w:p w:rsidR="005D760C" w:rsidRP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Стоит упомянуть, что существуют две основные модели устройства гейзеров: модель Роберта Бунзена (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Bunsen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, 1847), и модель Георга Маккензи (</w:t>
            </w:r>
            <w:proofErr w:type="spell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, 1811). Одна из них предполагает наличие сифона, в котором скапливаются поднимающиеся пузыри газа, а второй – вертикальный столб постепенно прогревающейся жидкости. Две эти модели длительное время конкурировали друг с другом, однако есть существенные аргументы, позволяющие предположить, что в Долине Гейзеров гейзеры функционируют именно по схеме, описанной Маккензи. Наиболее наглядные доказательства были представлены в работах А.Б. Белоусова и М.Г. Белоусовой.</w:t>
            </w:r>
          </w:p>
          <w:p w:rsidR="007C4F59" w:rsidRPr="007C4F59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В 2007 году в Долине Гейзеров произошло страшное событие. С одного из прилегающих склонов сошел крупный оползень, уничтоживший значительную часть Долины Гейзеров и лишь чудом не приведший к человеческим жертвам. Множество Гейзеров «погибло» в этот день. Однако, как показали 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множ</w:t>
            </w:r>
            <w:r w:rsidR="00130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ства авторов, в том числе А.Б. и М.Г. Белоусовых, подводящие каналы гейзеров весьма сложной формы проходят как раз по склоновым отложениям, и сами каналы, судя по всему формируются исключительно благодаря оползням, подобным тому, что сошел в 2007 г. Таким образом, жизненная история гейзеров зацикливается и оказывается, что благодаря оползням и другим склоновым процессам происходит как появление, так и исчезновение таких уникальных природных объектов.</w:t>
            </w:r>
          </w:p>
        </w:tc>
      </w:tr>
      <w:tr w:rsidR="005D760C" w:rsidTr="007C4F59">
        <w:trPr>
          <w:trHeight w:val="416"/>
        </w:trPr>
        <w:tc>
          <w:tcPr>
            <w:tcW w:w="1555" w:type="dxa"/>
          </w:tcPr>
          <w:p w:rsidR="005D760C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11.04. 2025</w:t>
            </w:r>
          </w:p>
          <w:p w:rsidR="005D760C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13.00.-14.30</w:t>
            </w:r>
          </w:p>
        </w:tc>
        <w:tc>
          <w:tcPr>
            <w:tcW w:w="1682" w:type="dxa"/>
          </w:tcPr>
          <w:p w:rsidR="005D760C" w:rsidRDefault="005D76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Аудитория 662, 1 ГУМ</w:t>
            </w:r>
          </w:p>
          <w:p w:rsidR="00B915A0" w:rsidRDefault="00B915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A0" w:rsidRDefault="00B915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подключение: </w:t>
            </w:r>
          </w:p>
          <w:p w:rsidR="00B915A0" w:rsidRPr="007C4F59" w:rsidRDefault="00B915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5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tgtFrame="_blank" w:history="1">
              <w:r w:rsidRPr="00B915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https://ftvbbb.ru/b/662-4pq-4zb-s1r</w:t>
              </w:r>
            </w:hyperlink>
          </w:p>
        </w:tc>
        <w:tc>
          <w:tcPr>
            <w:tcW w:w="2003" w:type="dxa"/>
          </w:tcPr>
          <w:p w:rsidR="005D760C" w:rsidRPr="005D760C" w:rsidRDefault="00B80958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760C" w:rsidRPr="005D760C">
              <w:rPr>
                <w:rFonts w:ascii="Times New Roman" w:hAnsi="Times New Roman" w:cs="Times New Roman"/>
                <w:sz w:val="24"/>
                <w:szCs w:val="24"/>
              </w:rPr>
              <w:t>оцент Высшей школы телевидения МГУ, член Союза журналистов России,</w:t>
            </w:r>
          </w:p>
          <w:p w:rsidR="005D760C" w:rsidRDefault="005D760C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proofErr w:type="gramEnd"/>
            <w:r w:rsidRPr="005D760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доцент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Рогозянский М.Э.</w:t>
            </w:r>
          </w:p>
        </w:tc>
        <w:tc>
          <w:tcPr>
            <w:tcW w:w="1701" w:type="dxa"/>
          </w:tcPr>
          <w:p w:rsidR="005D760C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как стилистическое направление киноискусства и средство манипуляции массовой аудиторией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5D760C" w:rsidRPr="005D760C" w:rsidRDefault="00CE2BB4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Лектор представит ретроспективный анализ развития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от стилистического направления игрового кино – до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манипулятивной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медиатехнологии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. Также уточнит определение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, делая акцент на том, что </w:t>
            </w:r>
            <w:proofErr w:type="spellStart"/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мокьюментари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это не жанр документального или игрового кино, а именно стилизация средствами операторского искусства и монтажа под документальность вымышленного сюжета, разыгранного с участием </w:t>
            </w:r>
            <w:r w:rsidRPr="00C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реальных, часто в определенной степени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, людей (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неактеров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) или экспертов (реальных и псевдо-), сконструированного по законам драматургии. Используя большой массив фактического материала, автор приходит к выводу, что использование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псевдодокументалистики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ограничивается морально-нравственными критериями как автора, так и сообщества, в котором кинопроизведения рождаются, и для которого они предназначены.</w:t>
            </w:r>
          </w:p>
        </w:tc>
      </w:tr>
      <w:tr w:rsidR="00CE2BB4" w:rsidTr="007C4F59">
        <w:trPr>
          <w:trHeight w:val="416"/>
        </w:trPr>
        <w:tc>
          <w:tcPr>
            <w:tcW w:w="1555" w:type="dxa"/>
          </w:tcPr>
          <w:p w:rsidR="00CE2BB4" w:rsidRPr="00BF4FA0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12.04. 2025</w:t>
            </w:r>
          </w:p>
          <w:p w:rsidR="00CE2BB4" w:rsidRPr="00BF4FA0" w:rsidRDefault="00BF4FA0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A0">
              <w:rPr>
                <w:rFonts w:ascii="Times New Roman" w:hAnsi="Times New Roman" w:cs="Times New Roman"/>
                <w:sz w:val="24"/>
                <w:szCs w:val="24"/>
              </w:rPr>
              <w:t>10.30-11.20</w:t>
            </w:r>
          </w:p>
        </w:tc>
        <w:tc>
          <w:tcPr>
            <w:tcW w:w="1682" w:type="dxa"/>
          </w:tcPr>
          <w:p w:rsidR="00CE2BB4" w:rsidRPr="00BF4FA0" w:rsidRDefault="00CE2BB4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A0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r w:rsidR="00BF4FA0" w:rsidRPr="00BF4FA0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2003" w:type="dxa"/>
          </w:tcPr>
          <w:p w:rsidR="00CE2BB4" w:rsidRPr="005D760C" w:rsidRDefault="00B80958" w:rsidP="005D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.ф.н. профессор </w:t>
            </w:r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Голубева-</w:t>
            </w:r>
            <w:proofErr w:type="spellStart"/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Монаткина</w:t>
            </w:r>
            <w:proofErr w:type="spellEnd"/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</w:tcPr>
          <w:p w:rsidR="00CE2BB4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«Французская «Энциклопедия» Дидро и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Д’Аламбера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в русских переводах XVIII века».</w:t>
            </w:r>
          </w:p>
        </w:tc>
        <w:tc>
          <w:tcPr>
            <w:tcW w:w="8505" w:type="dxa"/>
          </w:tcPr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Французская «Энциклопедия, или толковый словарь наук, искусств и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ремёсел</w:t>
            </w:r>
            <w:r w:rsidRPr="00CE2B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»  (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Encyclopédie, ou Dictionnaire raisonné des sciences, des arts et des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métiers</w:t>
            </w:r>
            <w:proofErr w:type="spellEnd"/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) была создана в 1751—1780 гг., в эпоху бурного развития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европейской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научной, философской и общественной мысли. Перевод статей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важнейшего справочного издания XVIII в. начался в России тогда,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35-томная энциклопедия была еще не завершена. В лекции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рассказывается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о сборнике переводов, изданном в типографии при</w:t>
            </w:r>
          </w:p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Московском университете в 1767 г.</w:t>
            </w:r>
          </w:p>
        </w:tc>
      </w:tr>
      <w:tr w:rsidR="00CE2BB4" w:rsidTr="007C4F59">
        <w:trPr>
          <w:trHeight w:val="416"/>
        </w:trPr>
        <w:tc>
          <w:tcPr>
            <w:tcW w:w="1555" w:type="dxa"/>
          </w:tcPr>
          <w:p w:rsid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12.04. 2025</w:t>
            </w:r>
          </w:p>
          <w:p w:rsidR="00CE2BB4" w:rsidRDefault="00CE2BB4" w:rsidP="001D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="001D35EB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682" w:type="dxa"/>
          </w:tcPr>
          <w:p w:rsidR="00CE2BB4" w:rsidRPr="00CE2BB4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CE2BB4" w:rsidRPr="00CE2BB4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>.полит.н</w:t>
            </w:r>
            <w:proofErr w:type="spellEnd"/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сравнительной политологии МГУ имени </w:t>
            </w:r>
            <w:proofErr w:type="spellStart"/>
            <w:proofErr w:type="gramStart"/>
            <w:r w:rsidR="00CE2BB4" w:rsidRPr="00CE2BB4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="00CE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B4">
              <w:t xml:space="preserve"> </w:t>
            </w:r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Кирсанова</w:t>
            </w:r>
            <w:proofErr w:type="gramEnd"/>
            <w:r w:rsidR="00CE2BB4"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1701" w:type="dxa"/>
          </w:tcPr>
          <w:p w:rsidR="00CE2BB4" w:rsidRPr="00CE2BB4" w:rsidRDefault="00CE2B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сегодня: что мы хотим, но не всегда быстро получаем?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CE2BB4" w:rsidRPr="00CE2BB4" w:rsidRDefault="00CE2BB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Сегодня человечество стоит на пороге новой технологической эпохи, когда во всех сферах всё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бòльшую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роль играют цифровые технологии, включающие искусственный интеллект, интернет, робототехнику, ЗD-печать, 5G-технологии, </w:t>
            </w:r>
            <w:proofErr w:type="spell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, биотехнологии. Это, в свою очередь, ведет к кардинальным изменениям функционирования всех систем управления в политике, сфере фундаментальных и прикладных исследований, образовании, </w:t>
            </w:r>
            <w:proofErr w:type="gramStart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>здравоохранении,  финансах</w:t>
            </w:r>
            <w:proofErr w:type="gramEnd"/>
            <w:r w:rsidRPr="00CE2BB4">
              <w:rPr>
                <w:rFonts w:ascii="Times New Roman" w:hAnsi="Times New Roman" w:cs="Times New Roman"/>
                <w:sz w:val="24"/>
                <w:szCs w:val="24"/>
              </w:rPr>
              <w:t xml:space="preserve"> и т.д. Однако стоит отметить, что развитие и внедрение цифровых технологий требует определенных мер, направленных на реализацию технологической политики. Соотнесение поставленных задач и возможностей не всегда быстро даёт необходимый результат. Кроме того, развитие цифровых технологий происходит значительно быстрее, чем их правовое обеспечение, что также </w:t>
            </w:r>
            <w:r w:rsidRPr="00CE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позволяет сразу их использовать в полной мере.</w:t>
            </w:r>
          </w:p>
        </w:tc>
      </w:tr>
      <w:tr w:rsidR="00B80958" w:rsidTr="007C4F59">
        <w:trPr>
          <w:trHeight w:val="416"/>
        </w:trPr>
        <w:tc>
          <w:tcPr>
            <w:tcW w:w="1555" w:type="dxa"/>
          </w:tcPr>
          <w:p w:rsidR="00B80958" w:rsidRPr="00F56B99" w:rsidRDefault="00B80958" w:rsidP="00CE2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14.04.2025</w:t>
            </w:r>
          </w:p>
          <w:p w:rsidR="00B80958" w:rsidRPr="00F56B99" w:rsidRDefault="00B80958" w:rsidP="001D3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10.30-</w:t>
            </w:r>
            <w:r w:rsidR="001D35EB" w:rsidRPr="00F56B9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682" w:type="dxa"/>
          </w:tcPr>
          <w:p w:rsidR="00B80958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  <w:p w:rsidR="00D02A2F" w:rsidRDefault="00D02A2F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A2F" w:rsidRPr="00F56B99" w:rsidRDefault="00D02A2F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02A2F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D02A2F">
              <w:rPr>
                <w:rFonts w:ascii="Times New Roman" w:hAnsi="Times New Roman" w:cs="Times New Roman"/>
                <w:sz w:val="24"/>
                <w:szCs w:val="24"/>
              </w:rPr>
              <w:t>https://telemost.yandex.ru/j/98080807681997</w:t>
            </w:r>
          </w:p>
        </w:tc>
        <w:tc>
          <w:tcPr>
            <w:tcW w:w="2003" w:type="dxa"/>
          </w:tcPr>
          <w:p w:rsidR="00B80958" w:rsidRPr="00F56B99" w:rsidRDefault="00B80958" w:rsidP="00B80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Д.филос.н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философского ф-та МГУ </w:t>
            </w: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Чалый В.А., </w:t>
            </w:r>
          </w:p>
          <w:p w:rsidR="00B80958" w:rsidRPr="00F56B99" w:rsidRDefault="00B80958" w:rsidP="00B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2 курса магистратуры ф-та политологии МГУ </w:t>
            </w: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Д.А.,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 студент 1 курса магистратуры философского ф-та МГУ.</w:t>
            </w:r>
          </w:p>
          <w:p w:rsidR="00B80958" w:rsidRPr="00F56B99" w:rsidRDefault="00B80958" w:rsidP="00B80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Жуков Д.П.</w:t>
            </w:r>
          </w:p>
        </w:tc>
        <w:tc>
          <w:tcPr>
            <w:tcW w:w="1701" w:type="dxa"/>
          </w:tcPr>
          <w:p w:rsidR="00B80958" w:rsidRPr="00F56B99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«Новые подходы к изучению антагонизма у И. Канта».</w:t>
            </w:r>
          </w:p>
        </w:tc>
        <w:tc>
          <w:tcPr>
            <w:tcW w:w="8505" w:type="dxa"/>
          </w:tcPr>
          <w:p w:rsidR="00B80958" w:rsidRPr="00CE2BB4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Лекция будет прочитана в рамках реализации гранта РНФ по теме «Разработка кантианской концепции антагонизма и критика современных интерпретаций «вечного мира» в теории международных отношений». Выступающие расскажут про применение традиции войны и мира, а также конфликтно-</w:t>
            </w:r>
            <w:proofErr w:type="spell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консенсусного</w:t>
            </w:r>
            <w:proofErr w:type="spellEnd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изучению концепции войны и мира И. Канта, акцентируют внимание на ключевых положениях трактата «К вечному миру», и наконец, обсудят возможности политического прочтения концепции антагонизма философа.</w:t>
            </w:r>
          </w:p>
        </w:tc>
      </w:tr>
      <w:tr w:rsidR="00B80958" w:rsidTr="007C4F59">
        <w:trPr>
          <w:trHeight w:val="416"/>
        </w:trPr>
        <w:tc>
          <w:tcPr>
            <w:tcW w:w="1555" w:type="dxa"/>
          </w:tcPr>
          <w:p w:rsidR="00B80958" w:rsidRPr="00F56B99" w:rsidRDefault="00B80958" w:rsidP="00CE2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14.04.2025</w:t>
            </w:r>
          </w:p>
          <w:p w:rsidR="00B80958" w:rsidRPr="00F56B99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82" w:type="dxa"/>
          </w:tcPr>
          <w:p w:rsidR="00B80958" w:rsidRPr="00F56B99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B80958" w:rsidRPr="00F56B99" w:rsidRDefault="00B80958" w:rsidP="00B8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кафедры международных отношений и интеграционных процессов, практикант ИМЭМО им. Е.М. Примакова РАН </w:t>
            </w:r>
          </w:p>
          <w:p w:rsidR="00B80958" w:rsidRPr="00F56B99" w:rsidRDefault="00B80958" w:rsidP="00B80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И.М.,</w:t>
            </w:r>
          </w:p>
        </w:tc>
        <w:tc>
          <w:tcPr>
            <w:tcW w:w="1701" w:type="dxa"/>
          </w:tcPr>
          <w:p w:rsidR="00B80958" w:rsidRPr="00F56B99" w:rsidRDefault="00B8095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«Османская империя 2.0: идейно-ценностные основания имперской реставрации в современной Турции».</w:t>
            </w:r>
          </w:p>
        </w:tc>
        <w:tc>
          <w:tcPr>
            <w:tcW w:w="8505" w:type="dxa"/>
          </w:tcPr>
          <w:p w:rsidR="00B80958" w:rsidRP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Эпоха Р.Т. </w:t>
            </w:r>
            <w:proofErr w:type="spell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>Эрдогана</w:t>
            </w:r>
            <w:proofErr w:type="spellEnd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 в новейшей истории Турецкой Республики названа «консервативной модернизацией». В ее основе — обращение к ценностям имперского периода Турции, османской традиции. Данное обращение отражается не только в возникновении широкого спектра работ, посвященных «ностальгии по Империи», но в реализации разнообразных проектов, </w:t>
            </w:r>
            <w:r w:rsidRPr="00B80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затрагивающих внутреннюю и внешнюю политику современной </w:t>
            </w:r>
            <w:proofErr w:type="gramStart"/>
            <w:r w:rsidRPr="00B80958">
              <w:rPr>
                <w:rFonts w:ascii="Times New Roman" w:hAnsi="Times New Roman" w:cs="Times New Roman"/>
                <w:sz w:val="24"/>
                <w:szCs w:val="24"/>
              </w:rPr>
              <w:t xml:space="preserve">Турции.  </w:t>
            </w:r>
            <w:proofErr w:type="gramEnd"/>
          </w:p>
        </w:tc>
      </w:tr>
      <w:tr w:rsidR="00B80958" w:rsidTr="007C4F59">
        <w:trPr>
          <w:trHeight w:val="416"/>
        </w:trPr>
        <w:tc>
          <w:tcPr>
            <w:tcW w:w="1555" w:type="dxa"/>
          </w:tcPr>
          <w:p w:rsidR="00B80958" w:rsidRDefault="00351345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15.04.2025 </w:t>
            </w:r>
          </w:p>
          <w:p w:rsidR="00351345" w:rsidRPr="00351345" w:rsidRDefault="00351345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12.40-14.00</w:t>
            </w:r>
          </w:p>
        </w:tc>
        <w:tc>
          <w:tcPr>
            <w:tcW w:w="1682" w:type="dxa"/>
          </w:tcPr>
          <w:p w:rsidR="00B80958" w:rsidRPr="00B80958" w:rsidRDefault="00351345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45">
              <w:rPr>
                <w:rFonts w:ascii="Times New Roman" w:hAnsi="Times New Roman" w:cs="Times New Roman"/>
                <w:sz w:val="24"/>
                <w:szCs w:val="24"/>
              </w:rPr>
              <w:t>Кафедра химической энзимологии, Ленинские горы, дом 1, строение 11 Б, аудитория 202.</w:t>
            </w:r>
          </w:p>
        </w:tc>
        <w:tc>
          <w:tcPr>
            <w:tcW w:w="2003" w:type="dxa"/>
          </w:tcPr>
          <w:p w:rsidR="00B80958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ав. кафедрой химической энзимологии, д.х.н., профессор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, Клячко Н.Л.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; к.х.н. доцент, </w:t>
            </w:r>
            <w:r w:rsidRPr="00BF6F6C">
              <w:rPr>
                <w:rFonts w:ascii="Times New Roman" w:hAnsi="Times New Roman" w:cs="Times New Roman"/>
                <w:b/>
                <w:sz w:val="24"/>
                <w:szCs w:val="24"/>
              </w:rPr>
              <w:t>Ле-Дейген И.М.</w:t>
            </w:r>
          </w:p>
        </w:tc>
        <w:tc>
          <w:tcPr>
            <w:tcW w:w="1701" w:type="dxa"/>
          </w:tcPr>
          <w:p w:rsidR="00B80958" w:rsidRDefault="00840CA3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доставки антибактериальных препаратов с использованием полимеров, липидов и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B80958" w:rsidRPr="00B80958" w:rsidRDefault="00B8095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65" w:rsidTr="007C4F59">
        <w:trPr>
          <w:trHeight w:val="416"/>
        </w:trPr>
        <w:tc>
          <w:tcPr>
            <w:tcW w:w="1555" w:type="dxa"/>
          </w:tcPr>
          <w:p w:rsidR="00C22365" w:rsidRDefault="00C22365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C22365" w:rsidRDefault="00C22365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82" w:type="dxa"/>
          </w:tcPr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4 учебный корпус, блок В, аудитория 546 (Москва, Ленинские горы 1с13А).</w:t>
            </w:r>
          </w:p>
          <w:p w:rsidR="00C22365" w:rsidRPr="0035134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proofErr w:type="spellStart"/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социол.н</w:t>
            </w:r>
            <w:proofErr w:type="spellEnd"/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., старший научный сотрудник Центра методологии социологических исследований Института социологии ФНИСЦ РАН, главный редактор журнала «Социология: 4М»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b/>
                <w:sz w:val="24"/>
                <w:szCs w:val="24"/>
              </w:rPr>
              <w:t>Бабич Н.С.</w:t>
            </w:r>
          </w:p>
          <w:p w:rsidR="00C22365" w:rsidRDefault="00C22365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2365" w:rsidRPr="00840CA3" w:rsidRDefault="00C22365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«Как провести и опубликовать методическое исследование»</w:t>
            </w:r>
          </w:p>
        </w:tc>
        <w:tc>
          <w:tcPr>
            <w:tcW w:w="8505" w:type="dxa"/>
          </w:tcPr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Что вас ждет: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От идеи к концепции: Как найти актуальную и значимую проблему для методического исследования.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Инструментарий социолога: Обзор современных методов сбора и анализа данных, применимых в методических исследованиях.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 xml:space="preserve">Дизайн исследования: Разработка четкого и логичного плана исследования, обеспечивающего надежность и </w:t>
            </w:r>
            <w:proofErr w:type="spellStart"/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C2236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Анализ данных: Превращаем сырые данные в убедительные выводы, используя современные статистические методы.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Публикация: Как выбрать подходящий журнал, оформить статью в соответствии с требованиями и успешно пройти рецензирование.</w:t>
            </w: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C22365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365" w:rsidRPr="00B80958" w:rsidRDefault="00C22365" w:rsidP="00C2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65">
              <w:rPr>
                <w:rFonts w:ascii="Times New Roman" w:hAnsi="Times New Roman" w:cs="Times New Roman"/>
                <w:sz w:val="24"/>
                <w:szCs w:val="24"/>
              </w:rPr>
              <w:t>Методические исследования – это фундамент науки. Они позволяют нам совершенствовать инструменты, повышать точность измерений и получать более надежные результаты. Умение проводить и публиковать такие исследования – это признак высокого профессионализма и вклад в развитие дисциплины.</w:t>
            </w:r>
          </w:p>
        </w:tc>
      </w:tr>
      <w:tr w:rsidR="00840CA3" w:rsidTr="007C4F59">
        <w:trPr>
          <w:trHeight w:val="416"/>
        </w:trPr>
        <w:tc>
          <w:tcPr>
            <w:tcW w:w="1555" w:type="dxa"/>
          </w:tcPr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16.04.2025</w:t>
            </w:r>
          </w:p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682" w:type="dxa"/>
          </w:tcPr>
          <w:p w:rsidR="00840CA3" w:rsidRPr="00351345" w:rsidRDefault="00840CA3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Кафедра радиохимии, Ленинские горы, дом 1, строение 10, аудитория 308.</w:t>
            </w:r>
          </w:p>
        </w:tc>
        <w:tc>
          <w:tcPr>
            <w:tcW w:w="2003" w:type="dxa"/>
          </w:tcPr>
          <w:p w:rsid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Представители компании «РИТВЕРЦ»</w:t>
            </w:r>
          </w:p>
        </w:tc>
        <w:tc>
          <w:tcPr>
            <w:tcW w:w="1701" w:type="dxa"/>
          </w:tcPr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«Демонстрация возможностей учебных наборов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RadLab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явления радиоактивности»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40CA3" w:rsidRPr="00B80958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CA3" w:rsidTr="007C4F59">
        <w:trPr>
          <w:trHeight w:val="416"/>
        </w:trPr>
        <w:tc>
          <w:tcPr>
            <w:tcW w:w="1555" w:type="dxa"/>
          </w:tcPr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840CA3" w:rsidRDefault="00840CA3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682" w:type="dxa"/>
          </w:tcPr>
          <w:p w:rsidR="00840CA3" w:rsidRPr="00F56B99" w:rsidRDefault="00840CA3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840CA3" w:rsidRPr="00F56B99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Профессор, д.э.н., руководитель отдела международных связей</w:t>
            </w:r>
          </w:p>
          <w:p w:rsidR="00840CA3" w:rsidRPr="00F56B99" w:rsidRDefault="00840CA3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Т.В.</w:t>
            </w:r>
          </w:p>
        </w:tc>
        <w:tc>
          <w:tcPr>
            <w:tcW w:w="1701" w:type="dxa"/>
          </w:tcPr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«Люди решают всё: как управление персоналом влияет на успех любой компании (и даже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8505" w:type="dxa"/>
          </w:tcPr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Почему одни компании стремительно растут, а другие разваливаются, несмотря на гениальные идеи? Часто ответ кроется не в технологиях или финансах, а в людях.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На этой лекции мы разберём: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 эффективное управление людьми превращает коллектив в конкурентное преимущество.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- Почему даже в эпоху AI и автоматизации человеческий фактор остаётся ключевым.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- Какие ошибки в управлении персоналом губят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и как их избежать.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Вы узнаете: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Как мотивировать команду без больших бюджетов.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Почему «токсичные гении» опаснее, чем кажется.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Зачем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стартапам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HR на ранних этапах.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🔹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Как создать среду, где таланты хотят оставаться и развиваться.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Лекция будет полезна: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Будущим основателям бизнесов и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Студентам, задумывающимся о карьере в HR.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Всем, кто верит, что успех компании начинается с людей.</w:t>
            </w:r>
          </w:p>
          <w:p w:rsidR="00840CA3" w:rsidRPr="00840CA3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Формат: живое выступление с кейсами, </w:t>
            </w:r>
            <w:proofErr w:type="spellStart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интерактивом</w:t>
            </w:r>
            <w:proofErr w:type="spellEnd"/>
            <w:r w:rsidRPr="00840CA3">
              <w:rPr>
                <w:rFonts w:ascii="Times New Roman" w:hAnsi="Times New Roman" w:cs="Times New Roman"/>
                <w:sz w:val="24"/>
                <w:szCs w:val="24"/>
              </w:rPr>
              <w:t xml:space="preserve"> и ответами на вопросы.</w:t>
            </w:r>
          </w:p>
          <w:p w:rsidR="00840CA3" w:rsidRPr="00B80958" w:rsidRDefault="00840CA3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A3">
              <w:rPr>
                <w:rFonts w:ascii="Times New Roman" w:hAnsi="Times New Roman" w:cs="Times New Roman"/>
                <w:sz w:val="24"/>
                <w:szCs w:val="24"/>
              </w:rPr>
              <w:t>Готовы разобраться, почему «кадры решают всё» — не клише, а закон бизнеса? Приходите!</w:t>
            </w:r>
          </w:p>
        </w:tc>
      </w:tr>
      <w:tr w:rsidR="00AD06A6" w:rsidTr="007C4F59">
        <w:trPr>
          <w:trHeight w:val="416"/>
        </w:trPr>
        <w:tc>
          <w:tcPr>
            <w:tcW w:w="1555" w:type="dxa"/>
          </w:tcPr>
          <w:p w:rsidR="00AD06A6" w:rsidRDefault="00AD06A6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16.04.2025 </w:t>
            </w:r>
          </w:p>
          <w:p w:rsidR="00AD06A6" w:rsidRDefault="00AD06A6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2" w:type="dxa"/>
          </w:tcPr>
          <w:p w:rsidR="00AD06A6" w:rsidRPr="00960509" w:rsidRDefault="00960509" w:rsidP="007C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0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D06A6" w:rsidRPr="00960509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</w:p>
          <w:p w:rsidR="00960509" w:rsidRDefault="005320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0B4">
              <w:rPr>
                <w:rFonts w:ascii="Times New Roman" w:hAnsi="Times New Roman" w:cs="Times New Roman"/>
                <w:sz w:val="24"/>
                <w:szCs w:val="24"/>
              </w:rPr>
              <w:t>https://online.spa.msu.ru/lomonosov2025</w:t>
            </w:r>
          </w:p>
          <w:p w:rsidR="005320B4" w:rsidRDefault="005320B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октор географических наук</w:t>
            </w:r>
          </w:p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МГУ имени М.В. Ломоносова</w:t>
            </w:r>
          </w:p>
          <w:p w:rsid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управления</w:t>
            </w:r>
          </w:p>
          <w:p w:rsidR="00AD06A6" w:rsidRPr="001669DB" w:rsidRDefault="00AD06A6" w:rsidP="00AD0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DB">
              <w:rPr>
                <w:rFonts w:ascii="Times New Roman" w:hAnsi="Times New Roman" w:cs="Times New Roman"/>
                <w:b/>
                <w:sz w:val="24"/>
                <w:szCs w:val="24"/>
              </w:rPr>
              <w:t>Митина Н.Н.</w:t>
            </w:r>
          </w:p>
        </w:tc>
        <w:tc>
          <w:tcPr>
            <w:tcW w:w="1701" w:type="dxa"/>
          </w:tcPr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«Особенности государственного управления в странах, подверженных резким</w:t>
            </w:r>
          </w:p>
          <w:p w:rsidR="00AD06A6" w:rsidRPr="00840CA3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климата»</w:t>
            </w:r>
          </w:p>
        </w:tc>
        <w:tc>
          <w:tcPr>
            <w:tcW w:w="8505" w:type="dxa"/>
          </w:tcPr>
          <w:p w:rsidR="00AD06A6" w:rsidRPr="00AD06A6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В лекции будут представлены: определение климата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динамики, различные причины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глобального потепления климата, возможные сценарии 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климатических изменений,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последствия глобальных климатических изменений для различных стран и регионов, возможные</w:t>
            </w:r>
          </w:p>
          <w:p w:rsidR="00AD06A6" w:rsidRPr="00840CA3" w:rsidRDefault="00AD06A6" w:rsidP="00AD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proofErr w:type="gramEnd"/>
            <w:r w:rsidRPr="00AD06A6">
              <w:rPr>
                <w:rFonts w:ascii="Times New Roman" w:hAnsi="Times New Roman" w:cs="Times New Roman"/>
                <w:sz w:val="24"/>
                <w:szCs w:val="24"/>
              </w:rPr>
              <w:t xml:space="preserve"> смягчения последствий глобальных климатических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менений в странах, подверженных </w:t>
            </w:r>
            <w:r w:rsidRPr="00AD06A6">
              <w:rPr>
                <w:rFonts w:ascii="Times New Roman" w:hAnsi="Times New Roman" w:cs="Times New Roman"/>
                <w:sz w:val="24"/>
                <w:szCs w:val="24"/>
              </w:rPr>
              <w:t>резким изменениям климата.</w:t>
            </w:r>
          </w:p>
        </w:tc>
      </w:tr>
      <w:tr w:rsidR="00514217" w:rsidTr="007C4F59">
        <w:trPr>
          <w:trHeight w:val="416"/>
        </w:trPr>
        <w:tc>
          <w:tcPr>
            <w:tcW w:w="1555" w:type="dxa"/>
          </w:tcPr>
          <w:p w:rsidR="00514217" w:rsidRPr="00CD28C6" w:rsidRDefault="00514217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514217" w:rsidRPr="00CD28C6" w:rsidRDefault="00514217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16.00- 17.00 </w:t>
            </w:r>
          </w:p>
        </w:tc>
        <w:tc>
          <w:tcPr>
            <w:tcW w:w="1682" w:type="dxa"/>
          </w:tcPr>
          <w:p w:rsidR="00514217" w:rsidRPr="00F56B99" w:rsidRDefault="00514217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3E5D4A" w:rsidRPr="00F56B99" w:rsidRDefault="003E5D4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Доктор политических наук, доцент кафедры российской политики ф-та политологии МГУ </w:t>
            </w:r>
          </w:p>
          <w:p w:rsidR="00514217" w:rsidRPr="00F56B99" w:rsidRDefault="00514217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 С.И. </w:t>
            </w:r>
          </w:p>
        </w:tc>
        <w:tc>
          <w:tcPr>
            <w:tcW w:w="1701" w:type="dxa"/>
          </w:tcPr>
          <w:p w:rsidR="00514217" w:rsidRPr="00CD28C6" w:rsidRDefault="00514217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«Видеоигры как инструмент политики»</w:t>
            </w:r>
          </w:p>
        </w:tc>
        <w:tc>
          <w:tcPr>
            <w:tcW w:w="8505" w:type="dxa"/>
          </w:tcPr>
          <w:p w:rsidR="00514217" w:rsidRPr="00CD28C6" w:rsidRDefault="00514217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Еще в годы холодной войны видеоигры начали использоваться для формирования образа советского врага. В современном мире видеоигры создаются в первую очередь для зарабатывания денег, но иногда видеоигры разрабатываются как инструмент мягкой силы. В ходе лекции рассмотрим какие смыслы были заложены в играх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Atomic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Undying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Symphony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" и как эти игры повлияли на геймеров.</w:t>
            </w: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Pr="00CD28C6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A8775C" w:rsidRPr="00CD28C6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88444B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</w:t>
            </w:r>
            <w:r w:rsidR="0088444B">
              <w:rPr>
                <w:rFonts w:ascii="Times New Roman" w:hAnsi="Times New Roman" w:cs="Times New Roman"/>
                <w:sz w:val="24"/>
                <w:szCs w:val="24"/>
              </w:rPr>
              <w:t xml:space="preserve"> (ауд.3018 а) </w:t>
            </w:r>
          </w:p>
        </w:tc>
        <w:tc>
          <w:tcPr>
            <w:tcW w:w="2003" w:type="dxa"/>
          </w:tcPr>
          <w:p w:rsidR="003E5D4A" w:rsidRPr="00CD28C6" w:rsidRDefault="00A8775C" w:rsidP="00A8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Управления регулирования Департамента </w:t>
            </w: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небанковского кредитования Банка России</w:t>
            </w:r>
          </w:p>
          <w:p w:rsidR="00A8775C" w:rsidRPr="00CD28C6" w:rsidRDefault="00A8775C" w:rsidP="00A87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Околелова</w:t>
            </w:r>
            <w:proofErr w:type="spellEnd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1701" w:type="dxa"/>
          </w:tcPr>
          <w:p w:rsidR="00A8775C" w:rsidRPr="00CD28C6" w:rsidRDefault="00A8775C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«Рынок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8505" w:type="dxa"/>
          </w:tcPr>
          <w:p w:rsidR="00A8775C" w:rsidRPr="00CD28C6" w:rsidRDefault="00A8775C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A8" w:rsidTr="007C4F59">
        <w:trPr>
          <w:trHeight w:val="416"/>
        </w:trPr>
        <w:tc>
          <w:tcPr>
            <w:tcW w:w="1555" w:type="dxa"/>
          </w:tcPr>
          <w:p w:rsidR="008C04A8" w:rsidRPr="00F56B99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  <w:p w:rsidR="008C04A8" w:rsidRPr="00F56B99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682" w:type="dxa"/>
          </w:tcPr>
          <w:p w:rsidR="008C04A8" w:rsidRPr="00F56B99" w:rsidRDefault="008C04A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8C04A8" w:rsidRPr="00F56B99" w:rsidRDefault="008C04A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 Центра междисциплинарных исследований ИНИОН РАН, доцент кафедры государственной политики факультета политологии МГУ,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к.полит.н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Вилисов</w:t>
            </w:r>
            <w:proofErr w:type="spellEnd"/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</w:tcPr>
          <w:p w:rsidR="008C04A8" w:rsidRPr="00F56B99" w:rsidRDefault="008C04A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«Научно-практический потенциал исследований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неформальности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государственной политики в постсоветских государственных системах»</w:t>
            </w:r>
          </w:p>
        </w:tc>
        <w:tc>
          <w:tcPr>
            <w:tcW w:w="8505" w:type="dxa"/>
          </w:tcPr>
          <w:p w:rsidR="008C04A8" w:rsidRPr="00840CA3" w:rsidRDefault="008C04A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неформальности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Informality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) являются относительно молодой (возникшей примерно с начала 2000-х годов) сферой междисциплинарных научных исследований, включающей антропологию, этнологию, экономику, социологию и политическую науку. Международному сообществу исследователей (которое насчитывает более сотни экспертов практически со всех континентов в этой сфере удалось сформировать «Энциклопедию </w:t>
            </w:r>
            <w:proofErr w:type="spellStart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>неформальности</w:t>
            </w:r>
            <w:proofErr w:type="spellEnd"/>
            <w:r w:rsidRPr="008C04A8">
              <w:rPr>
                <w:rFonts w:ascii="Times New Roman" w:hAnsi="Times New Roman" w:cs="Times New Roman"/>
                <w:sz w:val="24"/>
                <w:szCs w:val="24"/>
              </w:rPr>
              <w:t xml:space="preserve">», в трех томах которой описаны примеры разнообразных социальных практик, возникающих при дефиците формально-правового, институциональной-экономического и иного официального социального регулирования, которые по-разному оцениваются с правовой и морально-этической точек зрения. В рамках данной области знаний формируется своя </w:t>
            </w:r>
            <w:r w:rsidRPr="008C0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теоретико-методологическая база, применение которой к исследованиям политических и экономических процессов в странах бывшего СССР дает новые перспективы и позволяет выходить из ловушек черно-белых оценок трансформаций, происходивших и происходящих в республиках бывшего СССР за более чем три десятилетия</w:t>
            </w: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18.04. 2025</w:t>
            </w:r>
          </w:p>
          <w:p w:rsidR="00354546" w:rsidRPr="00CD28C6" w:rsidRDefault="00354546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="0088444B">
              <w:rPr>
                <w:rFonts w:ascii="Times New Roman" w:hAnsi="Times New Roman" w:cs="Times New Roman"/>
                <w:sz w:val="24"/>
                <w:szCs w:val="24"/>
              </w:rPr>
              <w:t>-16.15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</w:t>
            </w:r>
            <w:r w:rsidR="00354546">
              <w:rPr>
                <w:rFonts w:ascii="Times New Roman" w:hAnsi="Times New Roman" w:cs="Times New Roman"/>
                <w:sz w:val="24"/>
                <w:szCs w:val="24"/>
              </w:rPr>
              <w:t xml:space="preserve"> (ауд. 136</w:t>
            </w:r>
            <w:r w:rsidR="0088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54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003" w:type="dxa"/>
          </w:tcPr>
          <w:p w:rsidR="00A8775C" w:rsidRPr="00CD28C6" w:rsidRDefault="00A8775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Доцент кафедры государственного аудита Высшей школы государственного аудита Московского государственного университета имени М.В. Ломоносова</w:t>
            </w:r>
          </w:p>
          <w:p w:rsidR="00A8775C" w:rsidRPr="00CD28C6" w:rsidRDefault="00A8775C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>Баркова</w:t>
            </w:r>
            <w:proofErr w:type="spellEnd"/>
            <w:r w:rsidRPr="00CD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</w:tcPr>
          <w:p w:rsidR="00A8775C" w:rsidRPr="00CD28C6" w:rsidRDefault="00A8775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«Неизвестные страницы истории Московского университета в годы Великой Отечественной войны (1941-1945 годы): люди и судьбы»</w:t>
            </w:r>
          </w:p>
        </w:tc>
        <w:tc>
          <w:tcPr>
            <w:tcW w:w="8505" w:type="dxa"/>
          </w:tcPr>
          <w:p w:rsidR="00A8775C" w:rsidRPr="00CD28C6" w:rsidRDefault="00A8775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5C" w:rsidTr="007C4F59">
        <w:trPr>
          <w:trHeight w:val="416"/>
        </w:trPr>
        <w:tc>
          <w:tcPr>
            <w:tcW w:w="1555" w:type="dxa"/>
          </w:tcPr>
          <w:p w:rsidR="00A8775C" w:rsidRDefault="00A8775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354546" w:rsidRPr="00CD28C6" w:rsidRDefault="00354546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82" w:type="dxa"/>
          </w:tcPr>
          <w:p w:rsidR="00A8775C" w:rsidRPr="00CD28C6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 (3048а)</w:t>
            </w:r>
          </w:p>
        </w:tc>
        <w:tc>
          <w:tcPr>
            <w:tcW w:w="2003" w:type="dxa"/>
          </w:tcPr>
          <w:p w:rsidR="00A8775C" w:rsidRPr="00CD28C6" w:rsidRDefault="00BF4FA0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Компания «Технологии доверия»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Вострова Т.А., директор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Звягинцева М.А., старший менеджер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Тетерев Н.А., директор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Хомутянский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В.А., старший консультант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• Макиенко Э.А., менеджер</w:t>
            </w:r>
          </w:p>
        </w:tc>
        <w:tc>
          <w:tcPr>
            <w:tcW w:w="1701" w:type="dxa"/>
          </w:tcPr>
          <w:p w:rsidR="00A8775C" w:rsidRPr="00CD28C6" w:rsidRDefault="00BF4FA0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Форензик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: расследования корпоративного мошенничества»</w:t>
            </w:r>
          </w:p>
        </w:tc>
        <w:tc>
          <w:tcPr>
            <w:tcW w:w="8505" w:type="dxa"/>
          </w:tcPr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мошенничество в России. Исследование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ТеДо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4FA0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Основные инструменты </w:t>
            </w:r>
            <w:proofErr w:type="spellStart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форензик</w:t>
            </w:r>
            <w:proofErr w:type="spellEnd"/>
            <w:r w:rsidRPr="00CD28C6">
              <w:rPr>
                <w:rFonts w:ascii="Times New Roman" w:hAnsi="Times New Roman" w:cs="Times New Roman"/>
                <w:sz w:val="24"/>
                <w:szCs w:val="24"/>
              </w:rPr>
              <w:t xml:space="preserve"> в расследованиях и предотвращении мошенничества: финансовый анализ, анализ электронных данных, корпоративная разведка </w:t>
            </w:r>
          </w:p>
          <w:p w:rsidR="00A8775C" w:rsidRPr="00CD28C6" w:rsidRDefault="00BF4FA0" w:rsidP="00BF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8C6">
              <w:rPr>
                <w:rFonts w:ascii="Times New Roman" w:hAnsi="Times New Roman" w:cs="Times New Roman"/>
                <w:sz w:val="24"/>
                <w:szCs w:val="24"/>
              </w:rPr>
              <w:t>• Примеры проектов</w:t>
            </w:r>
          </w:p>
        </w:tc>
      </w:tr>
      <w:tr w:rsidR="00840CA3" w:rsidTr="007C4F59">
        <w:trPr>
          <w:trHeight w:val="416"/>
        </w:trPr>
        <w:tc>
          <w:tcPr>
            <w:tcW w:w="1555" w:type="dxa"/>
          </w:tcPr>
          <w:p w:rsidR="00840CA3" w:rsidRDefault="002F22FA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19.04.2025</w:t>
            </w:r>
          </w:p>
          <w:p w:rsidR="002F22FA" w:rsidRDefault="002F22FA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682" w:type="dxa"/>
          </w:tcPr>
          <w:p w:rsidR="00840CA3" w:rsidRPr="00F56B99" w:rsidRDefault="002F22FA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840CA3" w:rsidRPr="00F56B99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политических наук, доцент кафедры истории и теории факультета политологии МГУ имени М.В. Ломоносова </w:t>
            </w:r>
          </w:p>
          <w:p w:rsidR="002F22FA" w:rsidRPr="00F56B99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Делов</w:t>
            </w:r>
            <w:proofErr w:type="spellEnd"/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840CA3" w:rsidRPr="00840CA3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2FA">
              <w:rPr>
                <w:rFonts w:ascii="Times New Roman" w:hAnsi="Times New Roman" w:cs="Times New Roman"/>
                <w:sz w:val="24"/>
                <w:szCs w:val="24"/>
              </w:rPr>
              <w:t>Дипломатия как наука и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840CA3" w:rsidRPr="00B80958" w:rsidRDefault="002F22FA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FA">
              <w:rPr>
                <w:rFonts w:ascii="Times New Roman" w:hAnsi="Times New Roman" w:cs="Times New Roman"/>
                <w:sz w:val="24"/>
                <w:szCs w:val="24"/>
              </w:rPr>
              <w:t>В современном мире дипломатия играет значительную роль в решении международных проблем, поддержании мира и стабильности. В представленной лекции «Дипломатия как наука и искусство» рассказывается история появления дипломатии и становления её как науки и профессии, о «старой» и «новой» дипломатии, говорится о том, кто такой посол и каковы его задачи, о роли дипломатических документов, дипломатических приёмах и дипломатических беседах, о роли жён послов и непростой истории становления дипломатического этикета. Лекция сопровождается презентацией и богато иллюстрирована историческими рассказами, позволяющими глубже окунуться в историю дипломатии, понять её контекст.</w:t>
            </w: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2F22FA" w:rsidRPr="00F56B99" w:rsidRDefault="00962E0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962E0C" w:rsidRPr="00F56B99" w:rsidRDefault="00684AF9" w:rsidP="0068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10.30-11</w:t>
            </w:r>
            <w:r w:rsidR="00962E0C" w:rsidRPr="00F56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</w:tcPr>
          <w:p w:rsidR="002F22FA" w:rsidRPr="00F56B99" w:rsidRDefault="00962E0C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2F22FA" w:rsidRPr="00F56B99" w:rsidRDefault="00962E0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К.полит.н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., ассистент кафедры российской политики</w:t>
            </w:r>
          </w:p>
          <w:p w:rsidR="00962E0C" w:rsidRPr="00F56B99" w:rsidRDefault="00962E0C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Зайцев А.Я</w:t>
            </w:r>
          </w:p>
        </w:tc>
        <w:tc>
          <w:tcPr>
            <w:tcW w:w="1701" w:type="dxa"/>
          </w:tcPr>
          <w:p w:rsidR="002F22FA" w:rsidRPr="00F56B99" w:rsidRDefault="00962E0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«Виртуальные митинги»: новые правила политической игры».</w:t>
            </w:r>
          </w:p>
        </w:tc>
        <w:tc>
          <w:tcPr>
            <w:tcW w:w="8505" w:type="dxa"/>
          </w:tcPr>
          <w:p w:rsidR="002F22FA" w:rsidRPr="00F56B99" w:rsidRDefault="00962E0C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Данная лекция посвящена анализу феномена виртуальных митингов как новой формы политического протеста, реализуемой в цифровом пространстве. Будут проанализированы особенности и эволюция виртуальных митингов, их влияние на политический процесс, а также 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распространённость среди протестных сообществ. Особое внимание будет уделено вызовам и угрозам, которые представляют виртуальные митинги для государственных структур. Лекция будет также посвящена анализу кейсов и обсуждению перспектив развития данного явления.</w:t>
            </w: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21.04.2025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1682" w:type="dxa"/>
          </w:tcPr>
          <w:p w:rsidR="00E32A88" w:rsidRPr="00F56B99" w:rsidRDefault="00E32A8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Доктор политических наук, доцент, заведующий кафедрой сравнительной политологии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Демчук</w:t>
            </w:r>
            <w:proofErr w:type="spellEnd"/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E32A88" w:rsidRPr="00F56B99" w:rsidRDefault="00E32A88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Мегатенденции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мирового развития»</w:t>
            </w:r>
          </w:p>
        </w:tc>
        <w:tc>
          <w:tcPr>
            <w:tcW w:w="8505" w:type="dxa"/>
          </w:tcPr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В первые два десятилетия XXI века среди наиболее значимых можно отметить такие экономические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мегатенденции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, как увеличение конкуренции на мировом рынке, ужесточение экологических требований к производимым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продуктам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и услугам;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автоматизация производства, внедрение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искусственного интеллекта; продолжающаяся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урбанизация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; стремление к устойчивому управлению ресурсами, декарбонизация производства, локализация (автономизация) энергосистем,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ВИЭ; создание новых транспортных коридоров; освоение труднодоступных территорий; масштабное 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освоения  космического пространства.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К политическим и социальным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мегатенденциям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можно отнести возрастание неопределённости и рисков, возврат к ценностям выживания,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нарастание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масштабов неравенства и конфликтности в обществе, изменение представлений о социальной справедливости, солидарности, равенстве и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доверии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, изменение отношения к государству – снижение доверия к правительствам. В межгосударственных отношениях обостряется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соперничество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, борьба за стратегические ресурсы на фоне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реидеологизации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отношений, фрагментации международной системы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деглобализации</w:t>
            </w:r>
            <w:proofErr w:type="spellEnd"/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), активизации структурного (и культурно-информационного) насилия и кризиса традиционных механизмов принятия решений в рамках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межгосударственных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институтов.</w:t>
            </w:r>
          </w:p>
          <w:p w:rsidR="00E32A88" w:rsidRPr="00F56B99" w:rsidRDefault="00E32A88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Глобальной становится проблема адаптации к происходящим изменениям, решение которой 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следовать нескольким сценариям.</w:t>
            </w: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A8775C" w:rsidRPr="00F56B99" w:rsidRDefault="00A8775C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21.04.2025</w:t>
            </w:r>
          </w:p>
          <w:p w:rsidR="00CD28C6" w:rsidRPr="00F56B99" w:rsidRDefault="00CD28C6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  <w:r w:rsidR="00B915A0" w:rsidRPr="00F56B99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  <w:tc>
          <w:tcPr>
            <w:tcW w:w="1682" w:type="dxa"/>
          </w:tcPr>
          <w:p w:rsidR="00A8775C" w:rsidRPr="00F56B99" w:rsidRDefault="00BF4FA0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Ленинские горы, д.1, стр.13, 4 учебный корпус (3048а)</w:t>
            </w:r>
          </w:p>
        </w:tc>
        <w:tc>
          <w:tcPr>
            <w:tcW w:w="2003" w:type="dxa"/>
          </w:tcPr>
          <w:p w:rsidR="00B915A0" w:rsidRPr="00F56B99" w:rsidRDefault="00BF4FA0" w:rsidP="00B91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инспекция ФНС России по ценообразованию для целей налогообложения </w:t>
            </w:r>
            <w:r w:rsidR="00B915A0" w:rsidRPr="00F56B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915A0"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Чахкиева</w:t>
            </w:r>
            <w:proofErr w:type="spellEnd"/>
            <w:r w:rsidR="00B915A0"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Т.Т.</w:t>
            </w:r>
          </w:p>
          <w:p w:rsidR="00A8775C" w:rsidRPr="00F56B99" w:rsidRDefault="00B915A0" w:rsidP="00B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Абдуллина Л.Р.)</w:t>
            </w:r>
          </w:p>
        </w:tc>
        <w:tc>
          <w:tcPr>
            <w:tcW w:w="1701" w:type="dxa"/>
          </w:tcPr>
          <w:p w:rsidR="00A8775C" w:rsidRPr="00F56B99" w:rsidRDefault="00B915A0" w:rsidP="00B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«Применение методов трансфертного ценообразования в качестве инструмента управления налоговыми рисками»</w:t>
            </w:r>
          </w:p>
        </w:tc>
        <w:tc>
          <w:tcPr>
            <w:tcW w:w="8505" w:type="dxa"/>
          </w:tcPr>
          <w:p w:rsidR="00A8775C" w:rsidRPr="00F56B99" w:rsidRDefault="00B915A0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В ходе лекции спикеры расскажут об особенностях применения методов трансфертного ценообразования на примере конкретных экономических ситуаций. На семинаре у студентов будет возможность самостоятельно апробировать полученные знания в качестве одного из инструментов управления налоговыми рисками.</w:t>
            </w: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E2481F" w:rsidRPr="00F56B99" w:rsidRDefault="00E2481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E2481F" w:rsidRPr="00F56B99" w:rsidRDefault="00683E3B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682" w:type="dxa"/>
          </w:tcPr>
          <w:p w:rsidR="00E2481F" w:rsidRPr="00F56B99" w:rsidRDefault="00683E3B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1 ГУМ,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</w:p>
        </w:tc>
        <w:tc>
          <w:tcPr>
            <w:tcW w:w="2003" w:type="dxa"/>
          </w:tcPr>
          <w:p w:rsidR="00E2481F" w:rsidRPr="00F56B99" w:rsidRDefault="00683E3B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 кафедры управления в сфере межэтнических и межконфессиональных отношений факультета государственного управления МГУ имени М.В. Ломоносова, руководитель Центра Российской государственности</w:t>
            </w:r>
          </w:p>
          <w:p w:rsidR="00683E3B" w:rsidRPr="00F56B99" w:rsidRDefault="00683E3B" w:rsidP="00840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Ульянова Л.В.</w:t>
            </w:r>
          </w:p>
        </w:tc>
        <w:tc>
          <w:tcPr>
            <w:tcW w:w="1701" w:type="dxa"/>
          </w:tcPr>
          <w:p w:rsidR="00E2481F" w:rsidRPr="00F56B99" w:rsidRDefault="00683E3B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«Мифы об </w:t>
            </w:r>
            <w:r w:rsidR="008C04A8" w:rsidRPr="00F56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охранке</w:t>
            </w:r>
            <w:r w:rsidR="008C04A8" w:rsidRPr="00F56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проблемные сюжеты в истории политической полиции Российской империи (1825 </w:t>
            </w:r>
            <w:r w:rsidR="008C04A8" w:rsidRPr="00F56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1917)»</w:t>
            </w:r>
          </w:p>
        </w:tc>
        <w:tc>
          <w:tcPr>
            <w:tcW w:w="8505" w:type="dxa"/>
          </w:tcPr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Политическая полиция Российской империи – государственная структура, представление о которой даже в научной литературе окутано многочисленными мифами и стереотипами. Начиная с популярного обобщающего термина «охранка», заканчивая главенствующей ролью политической полиции в «охранительно-карательной» государственной политике дореволюционной России.</w:t>
            </w:r>
          </w:p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В лекции будут рассмотрены:</w:t>
            </w:r>
          </w:p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- вопросы терминологии (корректные и некорректные термины в отношении системы политической полиции; 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понятийный аппарат, которым в самой политической полиции описывали общественные процессы и революционные группы) и места тайной полиции в системе государственного управления;</w:t>
            </w:r>
          </w:p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- деятельность наиболее ярких персоналий политического сыска;</w:t>
            </w:r>
          </w:p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- способы «борьбы» с революционерами и взаимоотношения с общественными деятелями;</w:t>
            </w:r>
          </w:p>
          <w:p w:rsidR="00683E3B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- мифы о «провокациях» как основном методе работы тайной полиции, «белых пятнах» в деятельности скандально известно секретных сотрудников, проблеме законности в деятельности политической полиции;</w:t>
            </w:r>
          </w:p>
          <w:p w:rsidR="00E2481F" w:rsidRPr="00F56B99" w:rsidRDefault="00683E3B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Лекцию прочтет Ульянова Любовь Владимировна, кандидат исторических наук, доцент факультета государственного управления, руководитель Центра изучения российской государственности, автор книг «Политическая полиция и либеральное движение в Российской империи, 1880 – 1905 года» (победитель премии «Выдающаяся монография МГУ» 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года) и «Севастополь: история страны в лицах».</w:t>
            </w: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776BA4" w:rsidRPr="00F56B99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22.04.2025</w:t>
            </w:r>
          </w:p>
          <w:p w:rsidR="00776BA4" w:rsidRPr="00F56B99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12.40-14.00</w:t>
            </w:r>
          </w:p>
        </w:tc>
        <w:tc>
          <w:tcPr>
            <w:tcW w:w="1682" w:type="dxa"/>
          </w:tcPr>
          <w:p w:rsidR="00776BA4" w:rsidRPr="00F56B99" w:rsidRDefault="00776BA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Кафедра химической энзимологии, Ленинские горы, дом 1, строение 11 Б, аудитория 202.</w:t>
            </w:r>
          </w:p>
        </w:tc>
        <w:tc>
          <w:tcPr>
            <w:tcW w:w="2003" w:type="dxa"/>
          </w:tcPr>
          <w:p w:rsidR="00776BA4" w:rsidRPr="00F56B99" w:rsidRDefault="00776BA4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Академик РАН, проф.,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г.н.с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Егоров А.М.</w:t>
            </w:r>
          </w:p>
        </w:tc>
        <w:tc>
          <w:tcPr>
            <w:tcW w:w="1701" w:type="dxa"/>
          </w:tcPr>
          <w:p w:rsidR="00776BA4" w:rsidRPr="00F56B99" w:rsidRDefault="00776BA4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«Глобальная проблема антибиотикорезистентности бактерий и подходы к ее преодолению»</w:t>
            </w:r>
          </w:p>
        </w:tc>
        <w:tc>
          <w:tcPr>
            <w:tcW w:w="8505" w:type="dxa"/>
          </w:tcPr>
          <w:p w:rsidR="00776BA4" w:rsidRPr="00F56B99" w:rsidRDefault="00776BA4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B645BF" w:rsidRPr="00F56B99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B645BF" w:rsidRPr="00F56B99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682" w:type="dxa"/>
          </w:tcPr>
          <w:p w:rsidR="00B645BF" w:rsidRPr="00F56B99" w:rsidRDefault="00B645BF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Кафедра радиохимии, Ленинские горы, дом 1, строение 10, аудитория 308</w:t>
            </w:r>
          </w:p>
        </w:tc>
        <w:tc>
          <w:tcPr>
            <w:tcW w:w="2003" w:type="dxa"/>
          </w:tcPr>
          <w:p w:rsidR="00B645BF" w:rsidRPr="00F56B99" w:rsidRDefault="00B645BF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развитию компании «Ниагара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» – «Инновационные вычислительные технологии класса Энтерпрайз»</w:t>
            </w:r>
          </w:p>
          <w:p w:rsidR="00B645BF" w:rsidRPr="00F56B99" w:rsidRDefault="00B645BF" w:rsidP="007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Егоршев В.В.</w:t>
            </w:r>
          </w:p>
        </w:tc>
        <w:tc>
          <w:tcPr>
            <w:tcW w:w="1701" w:type="dxa"/>
          </w:tcPr>
          <w:p w:rsidR="00B645BF" w:rsidRPr="00F56B99" w:rsidRDefault="00B645BF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«Обзор современных суперкомпьютерных технологий»</w:t>
            </w:r>
          </w:p>
        </w:tc>
        <w:tc>
          <w:tcPr>
            <w:tcW w:w="8505" w:type="dxa"/>
          </w:tcPr>
          <w:p w:rsidR="00B645BF" w:rsidRPr="00F56B99" w:rsidRDefault="00B645BF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B645BF" w:rsidRPr="00F56B99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B645BF" w:rsidRPr="00F56B99" w:rsidRDefault="00B645BF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682" w:type="dxa"/>
          </w:tcPr>
          <w:p w:rsidR="00B645BF" w:rsidRPr="00F56B99" w:rsidRDefault="00B645BF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Кафедра радиохимии, Ленинские горы, дом 1, строение 10, аудитория 308</w:t>
            </w:r>
          </w:p>
        </w:tc>
        <w:tc>
          <w:tcPr>
            <w:tcW w:w="2003" w:type="dxa"/>
          </w:tcPr>
          <w:p w:rsidR="00B645BF" w:rsidRPr="00F56B99" w:rsidRDefault="00B645BF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образовательных программ Некоммерческий фонд развития науки и образования «Интеллект»</w:t>
            </w:r>
          </w:p>
          <w:p w:rsidR="00B645BF" w:rsidRPr="00F56B99" w:rsidRDefault="00B645BF" w:rsidP="007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Мезенцева А.В.</w:t>
            </w:r>
          </w:p>
        </w:tc>
        <w:tc>
          <w:tcPr>
            <w:tcW w:w="1701" w:type="dxa"/>
          </w:tcPr>
          <w:p w:rsidR="00B645BF" w:rsidRPr="00F56B99" w:rsidRDefault="00B645BF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«От певчих птиц до атомных частиц: как фонд "Интеллект" поддерживает студентов и молодых учёных»</w:t>
            </w:r>
          </w:p>
        </w:tc>
        <w:tc>
          <w:tcPr>
            <w:tcW w:w="8505" w:type="dxa"/>
          </w:tcPr>
          <w:p w:rsidR="00B645BF" w:rsidRPr="00F56B99" w:rsidRDefault="00B645BF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776BA4" w:rsidRPr="00F56B99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776BA4" w:rsidRPr="00F56B99" w:rsidRDefault="00776BA4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1682" w:type="dxa"/>
          </w:tcPr>
          <w:p w:rsidR="00776BA4" w:rsidRPr="00F56B99" w:rsidRDefault="00776BA4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Кафедра химической энзимологии, Ленинские горы, дом 1, строение 11 Б, аудитория 202.</w:t>
            </w:r>
          </w:p>
        </w:tc>
        <w:tc>
          <w:tcPr>
            <w:tcW w:w="2003" w:type="dxa"/>
          </w:tcPr>
          <w:p w:rsidR="00776BA4" w:rsidRPr="00F56B99" w:rsidRDefault="008C04A8" w:rsidP="00776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6BA4"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роф., д.х.н. </w:t>
            </w:r>
            <w:r w:rsidR="00776BA4"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Савицкий А.П.</w:t>
            </w:r>
            <w:r w:rsidR="00776BA4"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(Институт биохимии им. А.Н. Баха, Федеральный исследовательский центр «Фундаментальные основы биотехнологии» РАН, Москва, Россия)</w:t>
            </w:r>
          </w:p>
        </w:tc>
        <w:tc>
          <w:tcPr>
            <w:tcW w:w="1701" w:type="dxa"/>
          </w:tcPr>
          <w:p w:rsidR="00776BA4" w:rsidRPr="00F56B99" w:rsidRDefault="00776BA4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«Флуоресцентные белки-сенсоры для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vivo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имиджинга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776BA4" w:rsidRPr="00F56B99" w:rsidRDefault="00776BA4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8C04A8" w:rsidRPr="00F56B99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  <w:p w:rsidR="008C04A8" w:rsidRPr="00F56B99" w:rsidRDefault="008C04A8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682" w:type="dxa"/>
          </w:tcPr>
          <w:p w:rsidR="008C04A8" w:rsidRPr="00F56B99" w:rsidRDefault="008C04A8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ауд. Г-630, </w:t>
            </w:r>
            <w:proofErr w:type="spell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Шуваловский</w:t>
            </w:r>
            <w:proofErr w:type="spell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2003" w:type="dxa"/>
          </w:tcPr>
          <w:p w:rsidR="008C04A8" w:rsidRPr="00F56B99" w:rsidRDefault="008C04A8" w:rsidP="008C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международных отношений и интеграционных процессов ФП МГУ, заместитель председателя СМУ ФП МГУ </w:t>
            </w:r>
            <w:r w:rsidRPr="00F56B99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И.М.</w:t>
            </w: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217" w:rsidRPr="00F56B99" w:rsidRDefault="008C04A8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4217" w:rsidRPr="00F56B99">
              <w:rPr>
                <w:rFonts w:ascii="Times New Roman" w:hAnsi="Times New Roman" w:cs="Times New Roman"/>
                <w:sz w:val="24"/>
                <w:szCs w:val="24"/>
              </w:rPr>
              <w:t>Трудные вопросы редактирования научных текстов: теоретические аспекты и</w:t>
            </w:r>
          </w:p>
          <w:p w:rsidR="008C04A8" w:rsidRPr="00F56B99" w:rsidRDefault="00514217" w:rsidP="0051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F56B99">
              <w:rPr>
                <w:rFonts w:ascii="Times New Roman" w:hAnsi="Times New Roman" w:cs="Times New Roman"/>
                <w:sz w:val="24"/>
                <w:szCs w:val="24"/>
              </w:rPr>
              <w:t xml:space="preserve"> советы</w:t>
            </w:r>
            <w:r w:rsidR="008C04A8" w:rsidRPr="00F56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</w:tcPr>
          <w:p w:rsidR="008C04A8" w:rsidRPr="00F56B99" w:rsidRDefault="008C04A8" w:rsidP="00683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99" w:rsidRPr="00F56B99" w:rsidTr="007C4F59">
        <w:trPr>
          <w:trHeight w:val="416"/>
        </w:trPr>
        <w:tc>
          <w:tcPr>
            <w:tcW w:w="1555" w:type="dxa"/>
          </w:tcPr>
          <w:p w:rsidR="00BF6F6C" w:rsidRPr="00F56B99" w:rsidRDefault="00BF6F6C" w:rsidP="00CE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543A16" w:rsidRPr="00F56B99" w:rsidRDefault="00543A16" w:rsidP="007C4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543A16" w:rsidRPr="00F56B99" w:rsidRDefault="00543A16" w:rsidP="007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A16" w:rsidRPr="00F56B99" w:rsidRDefault="00543A16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DD" w:rsidRPr="00F56B99" w:rsidRDefault="000B23DD" w:rsidP="0084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43A16" w:rsidRPr="00F56B99" w:rsidRDefault="00543A16" w:rsidP="00E32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52A" w:rsidRPr="00F56B99" w:rsidRDefault="00BC352A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F56B99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Pr="00087215" w:rsidRDefault="000B23D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B23DD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РАСПИСАНИЕ МОЖЕТ МЕНЯТЬСЯ </w:t>
      </w: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0B23DD" w:rsidRDefault="000B23DD">
      <w:pPr>
        <w:rPr>
          <w:rFonts w:ascii="Times New Roman" w:hAnsi="Times New Roman" w:cs="Times New Roman"/>
          <w:sz w:val="24"/>
          <w:szCs w:val="24"/>
        </w:rPr>
      </w:pPr>
    </w:p>
    <w:p w:rsidR="007C4F59" w:rsidRDefault="007C4F59">
      <w:pPr>
        <w:rPr>
          <w:rFonts w:ascii="Times New Roman" w:hAnsi="Times New Roman" w:cs="Times New Roman"/>
          <w:sz w:val="24"/>
          <w:szCs w:val="24"/>
        </w:rPr>
      </w:pPr>
    </w:p>
    <w:p w:rsidR="007C4F59" w:rsidRPr="007C4F59" w:rsidRDefault="007C4F59">
      <w:pPr>
        <w:rPr>
          <w:rFonts w:ascii="Times New Roman" w:hAnsi="Times New Roman" w:cs="Times New Roman"/>
          <w:sz w:val="24"/>
          <w:szCs w:val="24"/>
        </w:rPr>
      </w:pPr>
    </w:p>
    <w:sectPr w:rsidR="007C4F59" w:rsidRPr="007C4F59" w:rsidSect="007C4F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9"/>
    <w:rsid w:val="00087215"/>
    <w:rsid w:val="000B23DD"/>
    <w:rsid w:val="00103998"/>
    <w:rsid w:val="001302C3"/>
    <w:rsid w:val="001669DB"/>
    <w:rsid w:val="001D35EB"/>
    <w:rsid w:val="002F22FA"/>
    <w:rsid w:val="00351345"/>
    <w:rsid w:val="00354546"/>
    <w:rsid w:val="003D1F55"/>
    <w:rsid w:val="003E5D4A"/>
    <w:rsid w:val="00514217"/>
    <w:rsid w:val="005320B4"/>
    <w:rsid w:val="00543A16"/>
    <w:rsid w:val="005D760C"/>
    <w:rsid w:val="0067475F"/>
    <w:rsid w:val="00683E3B"/>
    <w:rsid w:val="00684AF9"/>
    <w:rsid w:val="0077296E"/>
    <w:rsid w:val="00776BA4"/>
    <w:rsid w:val="007A64C2"/>
    <w:rsid w:val="007C4F59"/>
    <w:rsid w:val="00840CA3"/>
    <w:rsid w:val="0088444B"/>
    <w:rsid w:val="008C04A8"/>
    <w:rsid w:val="00960509"/>
    <w:rsid w:val="00962E0C"/>
    <w:rsid w:val="00A8775C"/>
    <w:rsid w:val="00AD06A6"/>
    <w:rsid w:val="00B645BF"/>
    <w:rsid w:val="00B80958"/>
    <w:rsid w:val="00B915A0"/>
    <w:rsid w:val="00BC352A"/>
    <w:rsid w:val="00BF4FA0"/>
    <w:rsid w:val="00BF6F6C"/>
    <w:rsid w:val="00C22365"/>
    <w:rsid w:val="00CD28C6"/>
    <w:rsid w:val="00CE2BB4"/>
    <w:rsid w:val="00D02A2F"/>
    <w:rsid w:val="00E2481F"/>
    <w:rsid w:val="00E31E3E"/>
    <w:rsid w:val="00E32A88"/>
    <w:rsid w:val="00F4396A"/>
    <w:rsid w:val="00F5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E351-0607-4997-A78E-81A0CEB7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1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tvbbb.ru/b/662-4pq-4zb-s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2025-04-12T15:03:00Z</dcterms:created>
  <dcterms:modified xsi:type="dcterms:W3CDTF">2025-04-13T15:41:00Z</dcterms:modified>
</cp:coreProperties>
</file>